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65F0" w14:textId="77777777" w:rsidR="00112226" w:rsidRPr="0003568E" w:rsidRDefault="00112226" w:rsidP="00112226">
      <w:pPr>
        <w:pStyle w:val="Title"/>
        <w:numPr>
          <w:ilvl w:val="1"/>
          <w:numId w:val="10"/>
        </w:numPr>
        <w:spacing w:after="0"/>
        <w:rPr>
          <w:sz w:val="44"/>
        </w:rPr>
      </w:pPr>
      <w:bookmarkStart w:id="0" w:name="_GoBack"/>
      <w:bookmarkEnd w:id="0"/>
      <w:r w:rsidRPr="0003568E">
        <w:rPr>
          <w:sz w:val="44"/>
        </w:rPr>
        <w:t>IT Addendum</w:t>
      </w:r>
    </w:p>
    <w:p w14:paraId="4C44693A" w14:textId="77777777" w:rsidR="00112226" w:rsidRPr="00E104C6" w:rsidRDefault="00112226" w:rsidP="00112226">
      <w:pPr>
        <w:pStyle w:val="Heading1"/>
        <w:spacing w:before="240"/>
      </w:pPr>
      <w:r w:rsidRPr="00E104C6">
        <w:t>Part 1: Itemized IT Costs</w:t>
      </w:r>
    </w:p>
    <w:p w14:paraId="12AFF762" w14:textId="731978B5" w:rsidR="00112226" w:rsidRDefault="00A92069" w:rsidP="00112226">
      <w:pPr>
        <w:spacing w:line="240" w:lineRule="auto"/>
      </w:pPr>
      <w:r>
        <w:t>Please itemize any IT-related costs, including hardware, software, services (including cloud-based services), contracts (including professional services, quality assurance, and independent verification and validation), or IT staff. Be as specific as you can. (See chapter 12.1 of the operating budget instructions for guidance on what counts as “IT-related costs”)</w:t>
      </w:r>
    </w:p>
    <w:p w14:paraId="3338ABBE" w14:textId="77777777" w:rsidR="00A92069" w:rsidRDefault="00A92069" w:rsidP="00112226">
      <w:pPr>
        <w:spacing w:line="240" w:lineRule="auto"/>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4158"/>
        <w:gridCol w:w="1354"/>
        <w:gridCol w:w="1355"/>
        <w:gridCol w:w="1354"/>
        <w:gridCol w:w="1355"/>
      </w:tblGrid>
      <w:tr w:rsidR="00127136" w14:paraId="4D261DDB" w14:textId="77777777" w:rsidTr="00127136">
        <w:trPr>
          <w:trHeight w:val="598"/>
        </w:trPr>
        <w:tc>
          <w:tcPr>
            <w:tcW w:w="4158" w:type="dxa"/>
            <w:shd w:val="clear" w:color="auto" w:fill="A6A6A6" w:themeFill="background1" w:themeFillShade="A6"/>
            <w:vAlign w:val="center"/>
          </w:tcPr>
          <w:p w14:paraId="4928C33D" w14:textId="7012789D" w:rsidR="00127136" w:rsidRDefault="00127136" w:rsidP="00FD71A4">
            <w:pPr>
              <w:spacing w:before="40" w:after="40"/>
              <w:rPr>
                <w:rFonts w:ascii="Arial Narrow" w:hAnsi="Arial Narrow"/>
                <w:b/>
                <w:sz w:val="24"/>
                <w:szCs w:val="26"/>
              </w:rPr>
            </w:pPr>
            <w:r>
              <w:rPr>
                <w:rFonts w:ascii="Arial Narrow" w:hAnsi="Arial Narrow"/>
                <w:b/>
                <w:sz w:val="24"/>
                <w:szCs w:val="26"/>
              </w:rPr>
              <w:t>Information Technology Items</w:t>
            </w:r>
            <w:r w:rsidR="0047282C">
              <w:rPr>
                <w:rFonts w:ascii="Arial Narrow" w:hAnsi="Arial Narrow"/>
                <w:b/>
                <w:sz w:val="24"/>
                <w:szCs w:val="26"/>
              </w:rPr>
              <w:t xml:space="preserve"> in this DP</w:t>
            </w:r>
          </w:p>
          <w:p w14:paraId="38078FF5" w14:textId="61C53633" w:rsidR="00127136" w:rsidRPr="00AC775E" w:rsidRDefault="00127136" w:rsidP="00127136">
            <w:pPr>
              <w:spacing w:before="40" w:after="40"/>
              <w:rPr>
                <w:rFonts w:ascii="Arial Narrow" w:hAnsi="Arial Narrow" w:cstheme="minorHAnsi"/>
                <w:sz w:val="24"/>
                <w:szCs w:val="26"/>
              </w:rPr>
            </w:pPr>
            <w:r>
              <w:rPr>
                <w:rFonts w:ascii="Arial Narrow" w:hAnsi="Arial Narrow"/>
                <w:b/>
                <w:sz w:val="24"/>
                <w:szCs w:val="26"/>
              </w:rPr>
              <w:t>(</w:t>
            </w:r>
            <w:r w:rsidRPr="00127136">
              <w:rPr>
                <w:rFonts w:ascii="Arial Narrow" w:hAnsi="Arial Narrow"/>
                <w:i/>
                <w:sz w:val="24"/>
                <w:szCs w:val="26"/>
              </w:rPr>
              <w:t>insert rows as required</w:t>
            </w:r>
            <w:r>
              <w:rPr>
                <w:rFonts w:ascii="Arial Narrow" w:hAnsi="Arial Narrow"/>
                <w:b/>
                <w:sz w:val="24"/>
                <w:szCs w:val="26"/>
              </w:rPr>
              <w:t>)</w:t>
            </w:r>
          </w:p>
        </w:tc>
        <w:tc>
          <w:tcPr>
            <w:tcW w:w="1354" w:type="dxa"/>
            <w:shd w:val="clear" w:color="auto" w:fill="A6A6A6" w:themeFill="background1" w:themeFillShade="A6"/>
            <w:vAlign w:val="center"/>
          </w:tcPr>
          <w:p w14:paraId="152A6BA5"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2018</w:t>
            </w:r>
          </w:p>
        </w:tc>
        <w:tc>
          <w:tcPr>
            <w:tcW w:w="1355" w:type="dxa"/>
            <w:shd w:val="clear" w:color="auto" w:fill="A6A6A6" w:themeFill="background1" w:themeFillShade="A6"/>
            <w:vAlign w:val="center"/>
          </w:tcPr>
          <w:p w14:paraId="177050EA"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2019</w:t>
            </w:r>
          </w:p>
        </w:tc>
        <w:tc>
          <w:tcPr>
            <w:tcW w:w="1354" w:type="dxa"/>
            <w:shd w:val="clear" w:color="auto" w:fill="A6A6A6" w:themeFill="background1" w:themeFillShade="A6"/>
            <w:vAlign w:val="center"/>
          </w:tcPr>
          <w:p w14:paraId="4ADCEEC8"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2020</w:t>
            </w:r>
          </w:p>
        </w:tc>
        <w:tc>
          <w:tcPr>
            <w:tcW w:w="1355" w:type="dxa"/>
            <w:shd w:val="clear" w:color="auto" w:fill="A6A6A6" w:themeFill="background1" w:themeFillShade="A6"/>
            <w:vAlign w:val="center"/>
          </w:tcPr>
          <w:p w14:paraId="18C15D54"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2021</w:t>
            </w:r>
          </w:p>
        </w:tc>
      </w:tr>
      <w:tr w:rsidR="00127136" w14:paraId="20B01973" w14:textId="77777777" w:rsidTr="00127136">
        <w:tc>
          <w:tcPr>
            <w:tcW w:w="4158" w:type="dxa"/>
            <w:vAlign w:val="center"/>
          </w:tcPr>
          <w:p w14:paraId="4A543931" w14:textId="3AFCFCA4" w:rsidR="00127136" w:rsidRPr="00AC775E" w:rsidRDefault="0047282C" w:rsidP="00FD71A4">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1</w:t>
            </w:r>
          </w:p>
        </w:tc>
        <w:tc>
          <w:tcPr>
            <w:tcW w:w="1354" w:type="dxa"/>
            <w:vAlign w:val="center"/>
          </w:tcPr>
          <w:p w14:paraId="1C22F674" w14:textId="0ADE9F09" w:rsidR="00127136" w:rsidRPr="00AC775E" w:rsidRDefault="00127136" w:rsidP="00FD71A4">
            <w:pPr>
              <w:spacing w:before="40" w:after="40"/>
              <w:jc w:val="center"/>
              <w:rPr>
                <w:rFonts w:ascii="Arial Narrow" w:hAnsi="Arial Narrow" w:cstheme="minorHAnsi"/>
              </w:rPr>
            </w:pPr>
            <w:r>
              <w:rPr>
                <w:rFonts w:ascii="Arial Narrow" w:hAnsi="Arial Narrow"/>
              </w:rPr>
              <w:t>xxx</w:t>
            </w:r>
          </w:p>
        </w:tc>
        <w:tc>
          <w:tcPr>
            <w:tcW w:w="1355" w:type="dxa"/>
            <w:vAlign w:val="center"/>
          </w:tcPr>
          <w:p w14:paraId="045577F7" w14:textId="77777777" w:rsidR="00127136" w:rsidRPr="00AC775E" w:rsidRDefault="00127136" w:rsidP="00FD71A4">
            <w:pPr>
              <w:spacing w:before="40" w:after="40"/>
              <w:jc w:val="center"/>
              <w:rPr>
                <w:rFonts w:ascii="Arial Narrow" w:hAnsi="Arial Narrow" w:cstheme="minorHAnsi"/>
              </w:rPr>
            </w:pPr>
            <w:proofErr w:type="spellStart"/>
            <w:r w:rsidRPr="00AC775E">
              <w:rPr>
                <w:rFonts w:ascii="Arial Narrow" w:hAnsi="Arial Narrow"/>
              </w:rPr>
              <w:t>yyy</w:t>
            </w:r>
            <w:proofErr w:type="spellEnd"/>
          </w:p>
        </w:tc>
        <w:tc>
          <w:tcPr>
            <w:tcW w:w="1354" w:type="dxa"/>
            <w:vAlign w:val="center"/>
          </w:tcPr>
          <w:p w14:paraId="5DE7FE91" w14:textId="77777777" w:rsidR="00127136" w:rsidRPr="00AC775E" w:rsidRDefault="00127136" w:rsidP="00FD71A4">
            <w:pPr>
              <w:spacing w:before="40" w:after="40"/>
              <w:jc w:val="center"/>
              <w:rPr>
                <w:rFonts w:ascii="Arial Narrow" w:hAnsi="Arial Narrow" w:cstheme="minorHAnsi"/>
              </w:rPr>
            </w:pPr>
            <w:proofErr w:type="spellStart"/>
            <w:r w:rsidRPr="00AC775E">
              <w:rPr>
                <w:rFonts w:ascii="Arial Narrow" w:hAnsi="Arial Narrow"/>
              </w:rPr>
              <w:t>zzz</w:t>
            </w:r>
            <w:proofErr w:type="spellEnd"/>
          </w:p>
        </w:tc>
        <w:tc>
          <w:tcPr>
            <w:tcW w:w="1355" w:type="dxa"/>
            <w:vAlign w:val="center"/>
          </w:tcPr>
          <w:p w14:paraId="281DF797" w14:textId="77777777" w:rsidR="00127136" w:rsidRPr="00AC775E" w:rsidRDefault="00127136" w:rsidP="00FD71A4">
            <w:pPr>
              <w:spacing w:before="40" w:after="40"/>
              <w:jc w:val="center"/>
              <w:rPr>
                <w:rFonts w:ascii="Arial Narrow" w:hAnsi="Arial Narrow" w:cstheme="minorHAnsi"/>
              </w:rPr>
            </w:pPr>
            <w:proofErr w:type="spellStart"/>
            <w:r w:rsidRPr="00AC775E">
              <w:rPr>
                <w:rFonts w:ascii="Arial Narrow" w:hAnsi="Arial Narrow"/>
              </w:rPr>
              <w:t>aaa</w:t>
            </w:r>
            <w:proofErr w:type="spellEnd"/>
          </w:p>
        </w:tc>
      </w:tr>
      <w:tr w:rsidR="00127136" w14:paraId="0493EC67" w14:textId="77777777" w:rsidTr="00127136">
        <w:tc>
          <w:tcPr>
            <w:tcW w:w="4158" w:type="dxa"/>
            <w:vAlign w:val="center"/>
          </w:tcPr>
          <w:p w14:paraId="1ECD1018" w14:textId="70C43362" w:rsidR="00127136" w:rsidRPr="00AC775E" w:rsidRDefault="0047282C" w:rsidP="0047282C">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2</w:t>
            </w:r>
          </w:p>
        </w:tc>
        <w:tc>
          <w:tcPr>
            <w:tcW w:w="1354" w:type="dxa"/>
            <w:vAlign w:val="center"/>
          </w:tcPr>
          <w:p w14:paraId="3BEF2EDA" w14:textId="535D4A4A" w:rsidR="00127136" w:rsidRPr="00AC775E" w:rsidRDefault="00127136" w:rsidP="00FD71A4">
            <w:pPr>
              <w:spacing w:before="40" w:after="40"/>
              <w:jc w:val="center"/>
              <w:rPr>
                <w:rFonts w:ascii="Arial Narrow" w:hAnsi="Arial Narrow" w:cstheme="minorHAnsi"/>
              </w:rPr>
            </w:pPr>
            <w:r>
              <w:rPr>
                <w:rFonts w:ascii="Arial Narrow" w:hAnsi="Arial Narrow"/>
              </w:rPr>
              <w:t>xxx</w:t>
            </w:r>
          </w:p>
        </w:tc>
        <w:tc>
          <w:tcPr>
            <w:tcW w:w="1355" w:type="dxa"/>
            <w:vAlign w:val="center"/>
          </w:tcPr>
          <w:p w14:paraId="61E53BA2" w14:textId="77777777" w:rsidR="00127136" w:rsidRPr="00AC775E" w:rsidRDefault="00127136" w:rsidP="00FD71A4">
            <w:pPr>
              <w:spacing w:before="40" w:after="40"/>
              <w:jc w:val="center"/>
              <w:rPr>
                <w:rFonts w:ascii="Arial Narrow" w:hAnsi="Arial Narrow" w:cstheme="minorHAnsi"/>
              </w:rPr>
            </w:pPr>
            <w:proofErr w:type="spellStart"/>
            <w:r w:rsidRPr="00AC775E">
              <w:rPr>
                <w:rFonts w:ascii="Arial Narrow" w:hAnsi="Arial Narrow"/>
              </w:rPr>
              <w:t>yyy</w:t>
            </w:r>
            <w:proofErr w:type="spellEnd"/>
          </w:p>
        </w:tc>
        <w:tc>
          <w:tcPr>
            <w:tcW w:w="1354" w:type="dxa"/>
            <w:vAlign w:val="center"/>
          </w:tcPr>
          <w:p w14:paraId="322D98E8" w14:textId="77777777" w:rsidR="00127136" w:rsidRPr="00AC775E" w:rsidRDefault="00127136" w:rsidP="00FD71A4">
            <w:pPr>
              <w:spacing w:before="40" w:after="40"/>
              <w:jc w:val="center"/>
              <w:rPr>
                <w:rFonts w:ascii="Arial Narrow" w:hAnsi="Arial Narrow" w:cstheme="minorHAnsi"/>
              </w:rPr>
            </w:pPr>
            <w:proofErr w:type="spellStart"/>
            <w:r w:rsidRPr="00AC775E">
              <w:rPr>
                <w:rFonts w:ascii="Arial Narrow" w:hAnsi="Arial Narrow"/>
              </w:rPr>
              <w:t>zzz</w:t>
            </w:r>
            <w:proofErr w:type="spellEnd"/>
          </w:p>
        </w:tc>
        <w:tc>
          <w:tcPr>
            <w:tcW w:w="1355" w:type="dxa"/>
            <w:vAlign w:val="center"/>
          </w:tcPr>
          <w:p w14:paraId="1A4FDB11" w14:textId="77777777" w:rsidR="00127136" w:rsidRPr="00AC775E" w:rsidRDefault="00127136" w:rsidP="00FD71A4">
            <w:pPr>
              <w:spacing w:before="40" w:after="40"/>
              <w:jc w:val="center"/>
              <w:rPr>
                <w:rFonts w:ascii="Arial Narrow" w:hAnsi="Arial Narrow" w:cstheme="minorHAnsi"/>
              </w:rPr>
            </w:pPr>
            <w:proofErr w:type="spellStart"/>
            <w:r w:rsidRPr="00AC775E">
              <w:rPr>
                <w:rFonts w:ascii="Arial Narrow" w:hAnsi="Arial Narrow"/>
              </w:rPr>
              <w:t>aaa</w:t>
            </w:r>
            <w:proofErr w:type="spellEnd"/>
          </w:p>
        </w:tc>
      </w:tr>
      <w:tr w:rsidR="00127136" w14:paraId="098D5C2D" w14:textId="77777777" w:rsidTr="00127136">
        <w:trPr>
          <w:trHeight w:val="467"/>
        </w:trPr>
        <w:tc>
          <w:tcPr>
            <w:tcW w:w="4158" w:type="dxa"/>
            <w:shd w:val="clear" w:color="auto" w:fill="DAEEF3" w:themeFill="accent5" w:themeFillTint="33"/>
            <w:vAlign w:val="center"/>
          </w:tcPr>
          <w:p w14:paraId="39E0DB00" w14:textId="77777777" w:rsidR="00127136" w:rsidRPr="00AC775E" w:rsidRDefault="00127136" w:rsidP="00FD71A4">
            <w:pPr>
              <w:spacing w:before="40" w:after="40"/>
              <w:rPr>
                <w:rFonts w:ascii="Arial Narrow" w:hAnsi="Arial Narrow" w:cstheme="minorHAnsi"/>
              </w:rPr>
            </w:pPr>
            <w:r w:rsidRPr="00AC775E">
              <w:rPr>
                <w:rFonts w:ascii="Arial Narrow" w:hAnsi="Arial Narrow"/>
                <w:b/>
              </w:rPr>
              <w:t>Total Cost</w:t>
            </w:r>
          </w:p>
        </w:tc>
        <w:tc>
          <w:tcPr>
            <w:tcW w:w="1354" w:type="dxa"/>
            <w:shd w:val="clear" w:color="auto" w:fill="DAEEF3" w:themeFill="accent5" w:themeFillTint="33"/>
            <w:vAlign w:val="center"/>
          </w:tcPr>
          <w:p w14:paraId="023E4F98" w14:textId="4F77B01E" w:rsidR="00127136" w:rsidRPr="00AC775E" w:rsidRDefault="00127136" w:rsidP="00127136">
            <w:pPr>
              <w:spacing w:before="40" w:after="40"/>
              <w:jc w:val="center"/>
              <w:rPr>
                <w:rFonts w:ascii="Arial Narrow" w:hAnsi="Arial Narrow" w:cstheme="minorHAnsi"/>
                <w:b/>
              </w:rPr>
            </w:pPr>
            <w:r>
              <w:rPr>
                <w:rFonts w:ascii="Arial Narrow" w:hAnsi="Arial Narrow"/>
                <w:b/>
              </w:rPr>
              <w:t>Enter Sum</w:t>
            </w:r>
          </w:p>
        </w:tc>
        <w:tc>
          <w:tcPr>
            <w:tcW w:w="1355" w:type="dxa"/>
            <w:shd w:val="clear" w:color="auto" w:fill="DAEEF3" w:themeFill="accent5" w:themeFillTint="33"/>
            <w:vAlign w:val="center"/>
          </w:tcPr>
          <w:p w14:paraId="2B801D5D" w14:textId="22AB9F9F"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4" w:type="dxa"/>
            <w:shd w:val="clear" w:color="auto" w:fill="DAEEF3" w:themeFill="accent5" w:themeFillTint="33"/>
            <w:vAlign w:val="center"/>
          </w:tcPr>
          <w:p w14:paraId="6CF33387" w14:textId="4E431D71"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5" w:type="dxa"/>
            <w:shd w:val="clear" w:color="auto" w:fill="DAEEF3" w:themeFill="accent5" w:themeFillTint="33"/>
            <w:vAlign w:val="center"/>
          </w:tcPr>
          <w:p w14:paraId="490CC278" w14:textId="02194433"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r>
    </w:tbl>
    <w:p w14:paraId="1076C8F1" w14:textId="77777777" w:rsidR="00127136" w:rsidRDefault="00127136" w:rsidP="00112226">
      <w:pPr>
        <w:spacing w:line="240" w:lineRule="auto"/>
      </w:pPr>
    </w:p>
    <w:p w14:paraId="03B235D5" w14:textId="77777777" w:rsidR="00112226" w:rsidRPr="00E104C6" w:rsidRDefault="00112226" w:rsidP="00112226">
      <w:pPr>
        <w:pStyle w:val="Heading1"/>
        <w:spacing w:before="240"/>
      </w:pPr>
      <w:r w:rsidRPr="00E104C6">
        <w:t xml:space="preserve">Part </w:t>
      </w:r>
      <w:r>
        <w:t>2</w:t>
      </w:r>
      <w:r w:rsidRPr="00E104C6">
        <w:t xml:space="preserve">: </w:t>
      </w:r>
      <w:r>
        <w:t>Identifying IT Projects</w:t>
      </w:r>
    </w:p>
    <w:p w14:paraId="66C7EDF0" w14:textId="77777777" w:rsidR="00112226" w:rsidRPr="0035175E" w:rsidRDefault="00112226" w:rsidP="00112226">
      <w:pPr>
        <w:spacing w:line="240" w:lineRule="auto"/>
        <w:ind w:left="360"/>
      </w:pPr>
      <w:r w:rsidRPr="0035175E">
        <w:t xml:space="preserve">If the investment proposed in the decision package is </w:t>
      </w:r>
      <w:r>
        <w:t xml:space="preserve">the development or acquisition of </w:t>
      </w:r>
      <w:r w:rsidRPr="0035175E">
        <w:t>an IT project</w:t>
      </w:r>
      <w:r>
        <w:t>/system</w:t>
      </w:r>
      <w:r w:rsidRPr="0035175E">
        <w:t>,</w:t>
      </w:r>
      <w:r>
        <w:t xml:space="preserve"> or is an enhancement to or modification of an existing IT project/system,</w:t>
      </w:r>
      <w:r w:rsidRPr="0035175E">
        <w:t xml:space="preserve"> it will also be reviewed and ranked by the OCIO as required by RCW 43.88.092. </w:t>
      </w:r>
      <w:r>
        <w:t>The answers to the three questions below will help OFM and the OCIO determine whether this decision package is, or enhances/modifies, an IT project:</w:t>
      </w:r>
    </w:p>
    <w:p w14:paraId="1F000DEB" w14:textId="6F92AC76" w:rsidR="00112226" w:rsidRPr="007E2960" w:rsidRDefault="00112226" w:rsidP="00112226">
      <w:pPr>
        <w:pStyle w:val="ListParagraph"/>
        <w:numPr>
          <w:ilvl w:val="0"/>
          <w:numId w:val="9"/>
        </w:numPr>
        <w:tabs>
          <w:tab w:val="left" w:pos="7200"/>
          <w:tab w:val="left" w:pos="7920"/>
        </w:tabs>
        <w:spacing w:line="240" w:lineRule="auto"/>
        <w:ind w:left="720"/>
      </w:pPr>
      <w:r w:rsidRPr="007E2960">
        <w:t xml:space="preserve">Does this decision package fund the </w:t>
      </w:r>
      <w:r>
        <w:t xml:space="preserve">development or </w:t>
      </w:r>
      <w:r w:rsidRPr="007E2960">
        <w:t>acquisition of a</w:t>
      </w:r>
      <w:r>
        <w:tab/>
      </w:r>
      <w:sdt>
        <w:sdtPr>
          <w:id w:val="1362619810"/>
          <w14:checkbox>
            <w14:checked w14:val="0"/>
            <w14:checkedState w14:val="2612" w14:font="MS Gothic"/>
            <w14:uncheckedState w14:val="2610" w14:font="MS Gothic"/>
          </w14:checkbox>
        </w:sdtPr>
        <w:sdtEndPr/>
        <w:sdtContent>
          <w:r w:rsidR="00127136">
            <w:rPr>
              <w:rFonts w:ascii="MS Gothic" w:eastAsia="MS Gothic" w:hAnsi="MS Gothic" w:hint="eastAsia"/>
            </w:rPr>
            <w:t>☐</w:t>
          </w:r>
        </w:sdtContent>
      </w:sdt>
      <w:r w:rsidRPr="007E2960">
        <w:t>Yes</w:t>
      </w:r>
      <w:r w:rsidRPr="007E2960">
        <w:tab/>
      </w:r>
      <w:sdt>
        <w:sdtPr>
          <w:id w:val="-674042126"/>
          <w14:checkbox>
            <w14:checked w14:val="0"/>
            <w14:checkedState w14:val="2612" w14:font="MS Gothic"/>
            <w14:uncheckedState w14:val="2610" w14:font="MS Gothic"/>
          </w14:checkbox>
        </w:sdtPr>
        <w:sdtEndPr/>
        <w:sdtContent>
          <w:r w:rsidR="00DE0904">
            <w:rPr>
              <w:rFonts w:ascii="MS Gothic" w:eastAsia="MS Gothic" w:hAnsi="MS Gothic" w:hint="eastAsia"/>
            </w:rPr>
            <w:t>☐</w:t>
          </w:r>
        </w:sdtContent>
      </w:sdt>
      <w:r w:rsidRPr="007E2960">
        <w:t xml:space="preserve"> No</w:t>
      </w:r>
      <w:r>
        <w:br/>
      </w:r>
      <w:r w:rsidRPr="007E2960">
        <w:t xml:space="preserve">new or enhanced software or hardware </w:t>
      </w:r>
      <w:r>
        <w:t>system or service?</w:t>
      </w:r>
    </w:p>
    <w:p w14:paraId="6022C244" w14:textId="77777777" w:rsidR="00112226" w:rsidRPr="007E2960" w:rsidRDefault="00112226" w:rsidP="00112226">
      <w:pPr>
        <w:pStyle w:val="ListParagraph"/>
        <w:numPr>
          <w:ilvl w:val="0"/>
          <w:numId w:val="9"/>
        </w:numPr>
        <w:tabs>
          <w:tab w:val="left" w:pos="7200"/>
          <w:tab w:val="left" w:pos="7920"/>
        </w:tabs>
        <w:spacing w:line="240" w:lineRule="auto"/>
        <w:ind w:left="720"/>
      </w:pPr>
      <w:r w:rsidRPr="007E2960">
        <w:t>Does this decision package fund the acquisition or enhancements</w:t>
      </w:r>
      <w:r>
        <w:tab/>
      </w:r>
      <w:sdt>
        <w:sdtPr>
          <w:id w:val="1116485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E2960">
        <w:t>Yes</w:t>
      </w:r>
      <w:r w:rsidRPr="007E2960">
        <w:tab/>
      </w:r>
      <w:sdt>
        <w:sdtPr>
          <w:id w:val="-1582369976"/>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No</w:t>
      </w:r>
      <w:r>
        <w:br/>
      </w:r>
      <w:r w:rsidRPr="007E2960">
        <w:t>of any agency data centers</w:t>
      </w:r>
      <w:r>
        <w:t>?</w:t>
      </w:r>
      <w:r w:rsidRPr="007E2960">
        <w:t xml:space="preserve"> (See </w:t>
      </w:r>
      <w:hyperlink r:id="rId9" w:history="1">
        <w:r w:rsidRPr="00FF5CEF">
          <w:rPr>
            <w:color w:val="0070C0"/>
            <w:u w:val="single"/>
          </w:rPr>
          <w:t>OCIO Policy 184</w:t>
        </w:r>
      </w:hyperlink>
      <w:r w:rsidRPr="007E2960">
        <w:t xml:space="preserve"> for definition</w:t>
      </w:r>
      <w:r>
        <w:t>.</w:t>
      </w:r>
      <w:r w:rsidRPr="007E2960">
        <w:t>)</w:t>
      </w:r>
      <w:r w:rsidRPr="007E2960">
        <w:tab/>
      </w:r>
      <w:r>
        <w:tab/>
      </w:r>
    </w:p>
    <w:p w14:paraId="30839900" w14:textId="77777777" w:rsidR="00112226" w:rsidRDefault="00112226" w:rsidP="00112226">
      <w:pPr>
        <w:pStyle w:val="ListParagraph"/>
        <w:numPr>
          <w:ilvl w:val="0"/>
          <w:numId w:val="9"/>
        </w:numPr>
        <w:tabs>
          <w:tab w:val="left" w:pos="7200"/>
          <w:tab w:val="left" w:pos="7920"/>
        </w:tabs>
        <w:spacing w:line="240" w:lineRule="auto"/>
        <w:ind w:left="720"/>
      </w:pPr>
      <w:r w:rsidRPr="007E2960">
        <w:t>Does this decision package fund the continuation of a project</w:t>
      </w:r>
      <w:r w:rsidRPr="0003568E">
        <w:t xml:space="preserve"> </w:t>
      </w:r>
      <w:r w:rsidRPr="007E2960">
        <w:t>that</w:t>
      </w:r>
      <w:r>
        <w:tab/>
      </w:r>
      <w:sdt>
        <w:sdtPr>
          <w:id w:val="-2029245371"/>
          <w14:checkbox>
            <w14:checked w14:val="0"/>
            <w14:checkedState w14:val="2612" w14:font="MS Gothic"/>
            <w14:uncheckedState w14:val="2610" w14:font="MS Gothic"/>
          </w14:checkbox>
        </w:sdtPr>
        <w:sdtEndPr/>
        <w:sdtContent>
          <w:r w:rsidRPr="007E2960">
            <w:rPr>
              <w:rFonts w:hint="eastAsia"/>
            </w:rPr>
            <w:t>☐</w:t>
          </w:r>
        </w:sdtContent>
      </w:sdt>
      <w:r w:rsidRPr="007E2960">
        <w:t>Yes</w:t>
      </w:r>
      <w:r w:rsidRPr="007E2960">
        <w:tab/>
      </w:r>
      <w:sdt>
        <w:sdtPr>
          <w:id w:val="-1761589277"/>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w:t>
      </w:r>
      <w:r>
        <w:t>No</w:t>
      </w:r>
      <w:r>
        <w:br/>
      </w:r>
      <w:r w:rsidRPr="007E2960">
        <w:t>is, or will be, under OCIO oversight?</w:t>
      </w:r>
      <w:r>
        <w:t xml:space="preserve"> (See </w:t>
      </w:r>
      <w:hyperlink r:id="rId10" w:history="1">
        <w:r w:rsidRPr="00171019">
          <w:rPr>
            <w:rStyle w:val="Hyperlink"/>
          </w:rPr>
          <w:t>OCIO Policy 121</w:t>
        </w:r>
      </w:hyperlink>
      <w:r>
        <w:t>.)</w:t>
      </w:r>
      <w:r w:rsidRPr="007E2960">
        <w:t xml:space="preserve"> </w:t>
      </w:r>
      <w:r w:rsidRPr="007E2960">
        <w:tab/>
      </w:r>
    </w:p>
    <w:p w14:paraId="439156DD" w14:textId="77777777" w:rsidR="00112226" w:rsidRPr="0003568E" w:rsidRDefault="00112226" w:rsidP="00112226">
      <w:pPr>
        <w:tabs>
          <w:tab w:val="left" w:pos="720"/>
          <w:tab w:val="left" w:pos="7200"/>
          <w:tab w:val="left" w:pos="7920"/>
        </w:tabs>
        <w:spacing w:line="240" w:lineRule="auto"/>
      </w:pPr>
      <w:r>
        <w:t xml:space="preserve">If you answered “yes” to </w:t>
      </w:r>
      <w:r>
        <w:rPr>
          <w:i/>
          <w:u w:val="single"/>
        </w:rPr>
        <w:t>any</w:t>
      </w:r>
      <w:r>
        <w:t xml:space="preserve"> of these questions, you must complete a concept review with the OCIO before submitting your budget request. Refer to chapter 12.2 of the operating budget instructions for more information. </w:t>
      </w:r>
    </w:p>
    <w:p w14:paraId="5289B9B0" w14:textId="77777777" w:rsidR="00112226" w:rsidRPr="00112226" w:rsidRDefault="00112226" w:rsidP="00112226">
      <w:pPr>
        <w:spacing w:before="120" w:after="0" w:line="240" w:lineRule="auto"/>
        <w:rPr>
          <w:rFonts w:ascii="Garamond" w:hAnsi="Garamond" w:cstheme="minorHAnsi"/>
          <w:sz w:val="24"/>
        </w:rPr>
      </w:pPr>
    </w:p>
    <w:p w14:paraId="0982D136" w14:textId="77777777" w:rsidR="0097113E" w:rsidRDefault="0097113E" w:rsidP="00873696">
      <w:pPr>
        <w:spacing w:after="0" w:line="240" w:lineRule="auto"/>
        <w:rPr>
          <w:b/>
          <w:sz w:val="24"/>
          <w:szCs w:val="24"/>
        </w:rPr>
      </w:pPr>
    </w:p>
    <w:p w14:paraId="4DA627AD" w14:textId="77777777" w:rsidR="00112226" w:rsidRDefault="00112226" w:rsidP="00873696">
      <w:pPr>
        <w:spacing w:after="0" w:line="240" w:lineRule="auto"/>
        <w:rPr>
          <w:b/>
          <w:sz w:val="24"/>
          <w:szCs w:val="24"/>
        </w:rPr>
      </w:pPr>
    </w:p>
    <w:sectPr w:rsidR="00112226" w:rsidSect="00DE58C6">
      <w:footerReference w:type="default" r:id="rId11"/>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A2206" w14:textId="77777777" w:rsidR="007A3AA3" w:rsidRDefault="007A3AA3" w:rsidP="008A43FB">
      <w:pPr>
        <w:spacing w:after="0" w:line="240" w:lineRule="auto"/>
      </w:pPr>
      <w:r>
        <w:separator/>
      </w:r>
    </w:p>
  </w:endnote>
  <w:endnote w:type="continuationSeparator" w:id="0">
    <w:p w14:paraId="3E425979" w14:textId="77777777" w:rsidR="007A3AA3" w:rsidRDefault="007A3A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1942"/>
      <w:docPartObj>
        <w:docPartGallery w:val="Page Numbers (Bottom of Page)"/>
        <w:docPartUnique/>
      </w:docPartObj>
    </w:sdtPr>
    <w:sdtEndPr>
      <w:rPr>
        <w:rFonts w:ascii="Arial Narrow" w:hAnsi="Arial Narrow"/>
        <w:noProof/>
        <w:sz w:val="20"/>
      </w:rPr>
    </w:sdtEndPr>
    <w:sdtContent>
      <w:p w14:paraId="54EB633A" w14:textId="77777777" w:rsidR="008A43FB" w:rsidRPr="00DE58C6" w:rsidRDefault="008A43FB">
        <w:pPr>
          <w:pStyle w:val="Footer"/>
          <w:jc w:val="right"/>
          <w:rPr>
            <w:rFonts w:ascii="Arial Narrow" w:hAnsi="Arial Narrow"/>
            <w:sz w:val="20"/>
          </w:rPr>
        </w:pPr>
        <w:r w:rsidRPr="00DE58C6">
          <w:rPr>
            <w:rFonts w:ascii="Arial Narrow" w:hAnsi="Arial Narrow"/>
            <w:sz w:val="20"/>
          </w:rPr>
          <w:fldChar w:fldCharType="begin"/>
        </w:r>
        <w:r w:rsidRPr="00DE58C6">
          <w:rPr>
            <w:rFonts w:ascii="Arial Narrow" w:hAnsi="Arial Narrow"/>
            <w:sz w:val="20"/>
          </w:rPr>
          <w:instrText xml:space="preserve"> PAGE   \* MERGEFORMAT </w:instrText>
        </w:r>
        <w:r w:rsidRPr="00DE58C6">
          <w:rPr>
            <w:rFonts w:ascii="Arial Narrow" w:hAnsi="Arial Narrow"/>
            <w:sz w:val="20"/>
          </w:rPr>
          <w:fldChar w:fldCharType="separate"/>
        </w:r>
        <w:r w:rsidR="00AC39F4">
          <w:rPr>
            <w:rFonts w:ascii="Arial Narrow" w:hAnsi="Arial Narrow"/>
            <w:noProof/>
            <w:sz w:val="20"/>
          </w:rPr>
          <w:t>1</w:t>
        </w:r>
        <w:r w:rsidRPr="00DE58C6">
          <w:rPr>
            <w:rFonts w:ascii="Arial Narrow" w:hAnsi="Arial Narrow"/>
            <w:noProof/>
            <w:sz w:val="20"/>
          </w:rPr>
          <w:fldChar w:fldCharType="end"/>
        </w:r>
      </w:p>
    </w:sdtContent>
  </w:sdt>
  <w:p w14:paraId="654A8B0C" w14:textId="77777777" w:rsidR="008A43FB" w:rsidRDefault="008A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602D" w14:textId="77777777" w:rsidR="007A3AA3" w:rsidRDefault="007A3AA3" w:rsidP="008A43FB">
      <w:pPr>
        <w:spacing w:after="0" w:line="240" w:lineRule="auto"/>
      </w:pPr>
      <w:r>
        <w:separator/>
      </w:r>
    </w:p>
  </w:footnote>
  <w:footnote w:type="continuationSeparator" w:id="0">
    <w:p w14:paraId="1B693D09" w14:textId="77777777" w:rsidR="007A3AA3" w:rsidRDefault="007A3AA3" w:rsidP="008A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D560F2"/>
    <w:multiLevelType w:val="hybridMultilevel"/>
    <w:tmpl w:val="F850E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8">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2"/>
  </w:num>
  <w:num w:numId="6">
    <w:abstractNumId w:val="3"/>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2"/>
    <w:rsid w:val="00011DD8"/>
    <w:rsid w:val="0004294E"/>
    <w:rsid w:val="0008391E"/>
    <w:rsid w:val="000A342E"/>
    <w:rsid w:val="000A3FFE"/>
    <w:rsid w:val="000C2BFB"/>
    <w:rsid w:val="000C3F23"/>
    <w:rsid w:val="000E6550"/>
    <w:rsid w:val="000F5659"/>
    <w:rsid w:val="00112226"/>
    <w:rsid w:val="00127136"/>
    <w:rsid w:val="00195CB4"/>
    <w:rsid w:val="00197BA4"/>
    <w:rsid w:val="001B5D35"/>
    <w:rsid w:val="001E6E0E"/>
    <w:rsid w:val="0020202B"/>
    <w:rsid w:val="002051E2"/>
    <w:rsid w:val="00221173"/>
    <w:rsid w:val="00230DCE"/>
    <w:rsid w:val="00233A54"/>
    <w:rsid w:val="00281EB9"/>
    <w:rsid w:val="002A7001"/>
    <w:rsid w:val="00301F5A"/>
    <w:rsid w:val="00315288"/>
    <w:rsid w:val="003167DB"/>
    <w:rsid w:val="00316B5D"/>
    <w:rsid w:val="00323750"/>
    <w:rsid w:val="00384C65"/>
    <w:rsid w:val="003B658C"/>
    <w:rsid w:val="003C4DF5"/>
    <w:rsid w:val="003F1D71"/>
    <w:rsid w:val="00400E86"/>
    <w:rsid w:val="00410695"/>
    <w:rsid w:val="00417448"/>
    <w:rsid w:val="0047247A"/>
    <w:rsid w:val="0047282C"/>
    <w:rsid w:val="0049599D"/>
    <w:rsid w:val="004C3CB8"/>
    <w:rsid w:val="004D578E"/>
    <w:rsid w:val="0050676A"/>
    <w:rsid w:val="00537560"/>
    <w:rsid w:val="00553873"/>
    <w:rsid w:val="005C05B5"/>
    <w:rsid w:val="005F1643"/>
    <w:rsid w:val="005F31E6"/>
    <w:rsid w:val="006052CB"/>
    <w:rsid w:val="006909D2"/>
    <w:rsid w:val="006C72FA"/>
    <w:rsid w:val="006E78D8"/>
    <w:rsid w:val="00700005"/>
    <w:rsid w:val="00713079"/>
    <w:rsid w:val="007227C0"/>
    <w:rsid w:val="00740178"/>
    <w:rsid w:val="007649E6"/>
    <w:rsid w:val="007652E6"/>
    <w:rsid w:val="00783057"/>
    <w:rsid w:val="007909F7"/>
    <w:rsid w:val="007A3AA3"/>
    <w:rsid w:val="007B43B4"/>
    <w:rsid w:val="007C321E"/>
    <w:rsid w:val="007E04A7"/>
    <w:rsid w:val="00862E34"/>
    <w:rsid w:val="00873696"/>
    <w:rsid w:val="00881EF1"/>
    <w:rsid w:val="0088269D"/>
    <w:rsid w:val="00897389"/>
    <w:rsid w:val="008A43FB"/>
    <w:rsid w:val="008A7365"/>
    <w:rsid w:val="0097113E"/>
    <w:rsid w:val="00996AF6"/>
    <w:rsid w:val="009C1412"/>
    <w:rsid w:val="009C6949"/>
    <w:rsid w:val="009D311B"/>
    <w:rsid w:val="009F3437"/>
    <w:rsid w:val="00A12135"/>
    <w:rsid w:val="00A213F3"/>
    <w:rsid w:val="00A30386"/>
    <w:rsid w:val="00A42C3C"/>
    <w:rsid w:val="00A8194B"/>
    <w:rsid w:val="00A82FA1"/>
    <w:rsid w:val="00A92069"/>
    <w:rsid w:val="00AA0E32"/>
    <w:rsid w:val="00AC39F4"/>
    <w:rsid w:val="00AC775E"/>
    <w:rsid w:val="00AF6BB1"/>
    <w:rsid w:val="00AF7504"/>
    <w:rsid w:val="00B112E7"/>
    <w:rsid w:val="00B15782"/>
    <w:rsid w:val="00B44660"/>
    <w:rsid w:val="00B4590C"/>
    <w:rsid w:val="00B46B91"/>
    <w:rsid w:val="00B72911"/>
    <w:rsid w:val="00B76E0C"/>
    <w:rsid w:val="00B878D6"/>
    <w:rsid w:val="00B9587F"/>
    <w:rsid w:val="00BB7CF9"/>
    <w:rsid w:val="00BD050F"/>
    <w:rsid w:val="00BF5541"/>
    <w:rsid w:val="00BF7A59"/>
    <w:rsid w:val="00C06EFC"/>
    <w:rsid w:val="00C329DC"/>
    <w:rsid w:val="00C77E62"/>
    <w:rsid w:val="00CA0F38"/>
    <w:rsid w:val="00CA65CE"/>
    <w:rsid w:val="00CB0DD4"/>
    <w:rsid w:val="00CF717F"/>
    <w:rsid w:val="00D071D2"/>
    <w:rsid w:val="00D1264E"/>
    <w:rsid w:val="00D22A53"/>
    <w:rsid w:val="00D3125E"/>
    <w:rsid w:val="00D51D35"/>
    <w:rsid w:val="00DB0420"/>
    <w:rsid w:val="00DE0904"/>
    <w:rsid w:val="00DE58C6"/>
    <w:rsid w:val="00DF5925"/>
    <w:rsid w:val="00E26DC2"/>
    <w:rsid w:val="00E26DE5"/>
    <w:rsid w:val="00E55D25"/>
    <w:rsid w:val="00E664A4"/>
    <w:rsid w:val="00E75C03"/>
    <w:rsid w:val="00E87100"/>
    <w:rsid w:val="00E97873"/>
    <w:rsid w:val="00EA6585"/>
    <w:rsid w:val="00F102C8"/>
    <w:rsid w:val="00F15CBA"/>
    <w:rsid w:val="00F30D5D"/>
    <w:rsid w:val="00F4460C"/>
    <w:rsid w:val="00F46B27"/>
    <w:rsid w:val="00F67A96"/>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B6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cio.wa.gov/policies/121-it-investments-approval-and-oversight" TargetMode="External"/><Relationship Id="rId4" Type="http://schemas.microsoft.com/office/2007/relationships/stylesWithEffects" Target="stylesWithEffects.xml"/><Relationship Id="rId9" Type="http://schemas.openxmlformats.org/officeDocument/2006/relationships/hyperlink" Target="https://ocio.wa.gov/policies/policy-184-data-center-investm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4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3764-70C5-4883-A9D2-FD8E58AB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1576</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Lien, Laurie (OFM)</cp:lastModifiedBy>
  <cp:revision>2</cp:revision>
  <cp:lastPrinted>2016-05-17T15:36:00Z</cp:lastPrinted>
  <dcterms:created xsi:type="dcterms:W3CDTF">2016-06-10T19:31:00Z</dcterms:created>
  <dcterms:modified xsi:type="dcterms:W3CDTF">2016-06-10T19:31:00Z</dcterms:modified>
</cp:coreProperties>
</file>