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6416" w14:textId="07596E8B" w:rsidR="00D95F4D" w:rsidRPr="00243192" w:rsidRDefault="00D95F4D" w:rsidP="008F0D0A">
      <w:pPr>
        <w:keepNext/>
        <w:rPr>
          <w:rFonts w:ascii="Arial" w:hAnsi="Arial" w:cs="Arial"/>
          <w:b/>
          <w:sz w:val="22"/>
          <w:szCs w:val="22"/>
          <w:u w:val="single"/>
        </w:rPr>
      </w:pPr>
      <w:r w:rsidRPr="00243192">
        <w:rPr>
          <w:rFonts w:ascii="Arial" w:hAnsi="Arial" w:cs="Arial"/>
          <w:b/>
          <w:sz w:val="22"/>
          <w:szCs w:val="22"/>
          <w:u w:val="single"/>
        </w:rPr>
        <w:t>ITEM #</w:t>
      </w:r>
      <w:r w:rsidR="00613E80">
        <w:rPr>
          <w:rFonts w:ascii="Arial" w:hAnsi="Arial" w:cs="Arial"/>
          <w:b/>
          <w:sz w:val="22"/>
          <w:szCs w:val="22"/>
          <w:u w:val="single"/>
        </w:rPr>
        <w:t>1</w:t>
      </w:r>
      <w:r w:rsidRPr="00243192">
        <w:rPr>
          <w:rFonts w:ascii="Arial" w:hAnsi="Arial" w:cs="Arial"/>
          <w:b/>
          <w:sz w:val="22"/>
          <w:szCs w:val="22"/>
          <w:u w:val="single"/>
        </w:rPr>
        <w:t xml:space="preserve"> – </w:t>
      </w:r>
      <w:r w:rsidR="00E21497">
        <w:rPr>
          <w:rFonts w:ascii="Arial" w:hAnsi="Arial" w:cs="Arial"/>
          <w:b/>
          <w:sz w:val="22"/>
          <w:szCs w:val="22"/>
          <w:u w:val="single"/>
        </w:rPr>
        <w:t>Agency’s Sexual Harassment Policy – Records of Harassment or Stalking</w:t>
      </w:r>
    </w:p>
    <w:p w14:paraId="2B157350" w14:textId="77777777" w:rsidR="00D95F4D" w:rsidRPr="00243192" w:rsidRDefault="00D95F4D" w:rsidP="00D95F4D">
      <w:pPr>
        <w:rPr>
          <w:rFonts w:ascii="Arial" w:hAnsi="Arial" w:cs="Arial"/>
          <w:sz w:val="22"/>
          <w:szCs w:val="22"/>
          <w:u w:val="single"/>
        </w:rPr>
      </w:pPr>
    </w:p>
    <w:p w14:paraId="70F59D4D" w14:textId="035ACE63" w:rsidR="00E21497" w:rsidRDefault="00D95F4D" w:rsidP="00E21497">
      <w:pPr>
        <w:keepNext/>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sidR="00580D71">
        <w:rPr>
          <w:rFonts w:ascii="Arial" w:hAnsi="Arial" w:cs="Arial"/>
          <w:sz w:val="22"/>
          <w:szCs w:val="22"/>
        </w:rPr>
        <w:t xml:space="preserve">Engrossed Substitute House Bill </w:t>
      </w:r>
      <w:r w:rsidR="00F0652D">
        <w:rPr>
          <w:rFonts w:ascii="Arial" w:hAnsi="Arial" w:cs="Arial"/>
          <w:sz w:val="22"/>
          <w:szCs w:val="22"/>
        </w:rPr>
        <w:t xml:space="preserve">1692 </w:t>
      </w:r>
      <w:r w:rsidR="00B64105">
        <w:rPr>
          <w:rFonts w:ascii="Arial" w:hAnsi="Arial" w:cs="Arial"/>
          <w:sz w:val="22"/>
          <w:szCs w:val="22"/>
        </w:rPr>
        <w:t xml:space="preserve">passed </w:t>
      </w:r>
      <w:r w:rsidR="00670165">
        <w:rPr>
          <w:rFonts w:ascii="Arial" w:hAnsi="Arial" w:cs="Arial"/>
          <w:sz w:val="22"/>
          <w:szCs w:val="22"/>
        </w:rPr>
        <w:t xml:space="preserve">during the 2019 legislative session </w:t>
      </w:r>
      <w:r w:rsidR="00B64105">
        <w:rPr>
          <w:rFonts w:ascii="Arial" w:hAnsi="Arial" w:cs="Arial"/>
          <w:sz w:val="22"/>
          <w:szCs w:val="22"/>
        </w:rPr>
        <w:t>with an effective date of July 1, 2020. This bill adds new sections to Chapter 42.56 RCW, Public Records Act</w:t>
      </w:r>
      <w:r w:rsidR="00670165">
        <w:rPr>
          <w:rFonts w:ascii="Arial" w:hAnsi="Arial" w:cs="Arial"/>
          <w:sz w:val="22"/>
          <w:szCs w:val="22"/>
        </w:rPr>
        <w:t>. Three of these sections were codified as</w:t>
      </w:r>
      <w:r w:rsidR="00914E48">
        <w:rPr>
          <w:rFonts w:ascii="Arial" w:hAnsi="Arial" w:cs="Arial"/>
          <w:sz w:val="22"/>
          <w:szCs w:val="22"/>
        </w:rPr>
        <w:t xml:space="preserve"> </w:t>
      </w:r>
      <w:r w:rsidR="00F0652D">
        <w:rPr>
          <w:rFonts w:ascii="Arial" w:hAnsi="Arial" w:cs="Arial"/>
          <w:sz w:val="22"/>
          <w:szCs w:val="22"/>
        </w:rPr>
        <w:t>RCW 42.56.660, 42.56.665 and 42.56.675</w:t>
      </w:r>
      <w:r w:rsidR="00B64105">
        <w:rPr>
          <w:rFonts w:ascii="Arial" w:hAnsi="Arial" w:cs="Arial"/>
          <w:sz w:val="22"/>
          <w:szCs w:val="22"/>
        </w:rPr>
        <w:t xml:space="preserve">. </w:t>
      </w:r>
      <w:r w:rsidR="00670165">
        <w:rPr>
          <w:rFonts w:ascii="Arial" w:hAnsi="Arial" w:cs="Arial"/>
          <w:sz w:val="22"/>
          <w:szCs w:val="22"/>
        </w:rPr>
        <w:t xml:space="preserve">This bill </w:t>
      </w:r>
      <w:r w:rsidR="00B64105">
        <w:rPr>
          <w:rFonts w:ascii="Arial" w:hAnsi="Arial" w:cs="Arial"/>
          <w:sz w:val="22"/>
          <w:szCs w:val="22"/>
        </w:rPr>
        <w:t xml:space="preserve">prevents an employer from disclosing records of harassment or stalking. If the requestor is a different party (not the person alleged to have been involved) requesting records of an employee, who has notified the employer of harassment or stalking, the employer must immediately notify the employee. If the employee seeks an </w:t>
      </w:r>
      <w:r w:rsidR="005C365E">
        <w:rPr>
          <w:rFonts w:ascii="Arial" w:hAnsi="Arial" w:cs="Arial"/>
          <w:sz w:val="22"/>
          <w:szCs w:val="22"/>
        </w:rPr>
        <w:t>injunction</w:t>
      </w:r>
      <w:r w:rsidR="00B64105">
        <w:rPr>
          <w:rFonts w:ascii="Arial" w:hAnsi="Arial" w:cs="Arial"/>
          <w:sz w:val="22"/>
          <w:szCs w:val="22"/>
        </w:rPr>
        <w:t xml:space="preserve"> the employee must in turn notify the employer. </w:t>
      </w:r>
    </w:p>
    <w:p w14:paraId="4A377FE4" w14:textId="5A74BCE1" w:rsidR="00B64105" w:rsidRDefault="00B64105" w:rsidP="00E21497">
      <w:pPr>
        <w:keepNext/>
        <w:rPr>
          <w:rFonts w:ascii="Arial" w:hAnsi="Arial" w:cs="Arial"/>
          <w:sz w:val="22"/>
          <w:szCs w:val="22"/>
        </w:rPr>
      </w:pPr>
    </w:p>
    <w:p w14:paraId="4B7EEEE3" w14:textId="2489AF59" w:rsidR="00B64105" w:rsidRPr="00243192" w:rsidRDefault="00B64105" w:rsidP="00E21497">
      <w:pPr>
        <w:keepNext/>
        <w:rPr>
          <w:rFonts w:ascii="Arial" w:hAnsi="Arial" w:cs="Arial"/>
          <w:sz w:val="22"/>
          <w:szCs w:val="22"/>
        </w:rPr>
      </w:pPr>
      <w:r>
        <w:rPr>
          <w:rFonts w:ascii="Arial" w:hAnsi="Arial" w:cs="Arial"/>
          <w:sz w:val="22"/>
          <w:szCs w:val="22"/>
        </w:rPr>
        <w:t xml:space="preserve">We are proposing to amend WAC 357-25-027 what must be included in the agency’s sexual harassment policy, to </w:t>
      </w:r>
      <w:r w:rsidR="00670165">
        <w:rPr>
          <w:rFonts w:ascii="Arial" w:hAnsi="Arial" w:cs="Arial"/>
          <w:sz w:val="22"/>
          <w:szCs w:val="22"/>
        </w:rPr>
        <w:t>add</w:t>
      </w:r>
      <w:r>
        <w:rPr>
          <w:rFonts w:ascii="Arial" w:hAnsi="Arial" w:cs="Arial"/>
          <w:sz w:val="22"/>
          <w:szCs w:val="22"/>
        </w:rPr>
        <w:t xml:space="preserve"> subsection 13 </w:t>
      </w:r>
      <w:r w:rsidR="00670165">
        <w:rPr>
          <w:rFonts w:ascii="Arial" w:hAnsi="Arial" w:cs="Arial"/>
          <w:sz w:val="22"/>
          <w:szCs w:val="22"/>
        </w:rPr>
        <w:t>to</w:t>
      </w:r>
      <w:r>
        <w:rPr>
          <w:rFonts w:ascii="Arial" w:hAnsi="Arial" w:cs="Arial"/>
          <w:sz w:val="22"/>
          <w:szCs w:val="22"/>
        </w:rPr>
        <w:t xml:space="preserve"> state responses to public records requests will be in accordance with the new law</w:t>
      </w:r>
      <w:r w:rsidR="00670165">
        <w:rPr>
          <w:rFonts w:ascii="Arial" w:hAnsi="Arial" w:cs="Arial"/>
          <w:sz w:val="22"/>
          <w:szCs w:val="22"/>
        </w:rPr>
        <w:t>s</w:t>
      </w:r>
      <w:r>
        <w:rPr>
          <w:rFonts w:ascii="Arial" w:hAnsi="Arial" w:cs="Arial"/>
          <w:sz w:val="22"/>
          <w:szCs w:val="22"/>
        </w:rPr>
        <w:t xml:space="preserve">. </w:t>
      </w:r>
    </w:p>
    <w:p w14:paraId="57F49058" w14:textId="2E6EB4FE" w:rsidR="007A0363" w:rsidRPr="00243192" w:rsidRDefault="007A0363" w:rsidP="00A752D2">
      <w:pPr>
        <w:rPr>
          <w:rFonts w:ascii="Arial" w:hAnsi="Arial" w:cs="Arial"/>
          <w:sz w:val="22"/>
          <w:szCs w:val="22"/>
        </w:rPr>
      </w:pPr>
    </w:p>
    <w:p w14:paraId="0E1D5104" w14:textId="33009B9F" w:rsidR="00043605" w:rsidRPr="00243192" w:rsidRDefault="00043605" w:rsidP="00FA4C20">
      <w:pPr>
        <w:rPr>
          <w:rFonts w:ascii="Arial" w:hAnsi="Arial" w:cs="Arial"/>
          <w:sz w:val="22"/>
          <w:szCs w:val="22"/>
        </w:rPr>
      </w:pPr>
      <w:r w:rsidRPr="00243192">
        <w:rPr>
          <w:rFonts w:ascii="Arial" w:hAnsi="Arial" w:cs="Arial"/>
          <w:sz w:val="22"/>
          <w:szCs w:val="22"/>
        </w:rPr>
        <w:t xml:space="preserve">Lead:  </w:t>
      </w:r>
      <w:r w:rsidR="00E21497">
        <w:rPr>
          <w:rFonts w:ascii="Arial" w:hAnsi="Arial" w:cs="Arial"/>
          <w:sz w:val="22"/>
          <w:szCs w:val="22"/>
        </w:rPr>
        <w:t>Caroline Kirk</w:t>
      </w:r>
    </w:p>
    <w:p w14:paraId="15B9D14F" w14:textId="77777777" w:rsidR="002B0FD2" w:rsidRPr="00243192" w:rsidRDefault="002B0FD2" w:rsidP="00FA4C20">
      <w:pPr>
        <w:rPr>
          <w:rFonts w:ascii="Arial" w:hAnsi="Arial" w:cs="Arial"/>
          <w:sz w:val="22"/>
          <w:szCs w:val="22"/>
        </w:rPr>
      </w:pPr>
    </w:p>
    <w:p w14:paraId="149F88C9" w14:textId="5196E0B2" w:rsidR="00043605" w:rsidRDefault="00043605" w:rsidP="00FA4C20">
      <w:pPr>
        <w:rPr>
          <w:rFonts w:ascii="Arial" w:hAnsi="Arial" w:cs="Arial"/>
          <w:sz w:val="22"/>
          <w:szCs w:val="22"/>
          <w:u w:val="single"/>
        </w:rPr>
      </w:pPr>
    </w:p>
    <w:p w14:paraId="7181FF27" w14:textId="77777777" w:rsidR="00E21497" w:rsidRPr="00B946B1" w:rsidRDefault="00E21497" w:rsidP="00E21497">
      <w:pPr>
        <w:rPr>
          <w:rFonts w:ascii="Arial" w:hAnsi="Arial" w:cs="Arial"/>
          <w:sz w:val="22"/>
          <w:szCs w:val="22"/>
        </w:rPr>
      </w:pPr>
      <w:r w:rsidRPr="00B946B1">
        <w:rPr>
          <w:rFonts w:ascii="Arial" w:hAnsi="Arial" w:cs="Arial"/>
          <w:sz w:val="22"/>
          <w:szCs w:val="22"/>
          <w:u w:val="single"/>
        </w:rPr>
        <w:t>AMENDATORY SECTION</w:t>
      </w:r>
    </w:p>
    <w:p w14:paraId="2436DA98" w14:textId="77777777" w:rsidR="00E21497" w:rsidRPr="00243192" w:rsidRDefault="00E21497" w:rsidP="00FA4C20">
      <w:pPr>
        <w:rPr>
          <w:rFonts w:ascii="Arial" w:hAnsi="Arial" w:cs="Arial"/>
          <w:sz w:val="22"/>
          <w:szCs w:val="22"/>
          <w:u w:val="single"/>
        </w:rPr>
      </w:pPr>
    </w:p>
    <w:p w14:paraId="525AEF4A" w14:textId="77777777" w:rsidR="00022B0F" w:rsidRDefault="00E21497" w:rsidP="00E21497">
      <w:pPr>
        <w:rPr>
          <w:rFonts w:ascii="Arial" w:hAnsi="Arial" w:cs="Arial"/>
          <w:sz w:val="22"/>
          <w:szCs w:val="22"/>
        </w:rPr>
      </w:pPr>
      <w:r w:rsidRPr="00E21497">
        <w:rPr>
          <w:rFonts w:ascii="Arial" w:hAnsi="Arial" w:cs="Arial"/>
          <w:b/>
          <w:sz w:val="22"/>
          <w:szCs w:val="22"/>
        </w:rPr>
        <w:t>WAC 357-25-</w:t>
      </w:r>
      <w:proofErr w:type="gramStart"/>
      <w:r w:rsidRPr="00E21497">
        <w:rPr>
          <w:rFonts w:ascii="Arial" w:hAnsi="Arial" w:cs="Arial"/>
          <w:b/>
          <w:sz w:val="22"/>
          <w:szCs w:val="22"/>
        </w:rPr>
        <w:t>027  What</w:t>
      </w:r>
      <w:proofErr w:type="gramEnd"/>
      <w:r w:rsidRPr="00E21497">
        <w:rPr>
          <w:rFonts w:ascii="Arial" w:hAnsi="Arial" w:cs="Arial"/>
          <w:b/>
          <w:sz w:val="22"/>
          <w:szCs w:val="22"/>
        </w:rPr>
        <w:t xml:space="preserve"> must be included in the agency's sexual harassment policy?</w:t>
      </w:r>
      <w:r>
        <w:rPr>
          <w:rFonts w:ascii="Arial" w:hAnsi="Arial" w:cs="Arial"/>
          <w:sz w:val="22"/>
          <w:szCs w:val="22"/>
        </w:rPr>
        <w:t xml:space="preserve">  </w:t>
      </w:r>
    </w:p>
    <w:p w14:paraId="1B064587" w14:textId="77777777" w:rsidR="00022B0F" w:rsidRDefault="00022B0F" w:rsidP="00E21497">
      <w:pPr>
        <w:rPr>
          <w:rFonts w:ascii="Arial" w:hAnsi="Arial" w:cs="Arial"/>
          <w:sz w:val="22"/>
          <w:szCs w:val="22"/>
        </w:rPr>
      </w:pPr>
    </w:p>
    <w:p w14:paraId="0EDCD6E7" w14:textId="1B07F31C" w:rsidR="00E21497" w:rsidRPr="00E21497" w:rsidRDefault="00E21497" w:rsidP="00E21497">
      <w:pPr>
        <w:rPr>
          <w:rFonts w:ascii="Arial" w:hAnsi="Arial" w:cs="Arial"/>
          <w:sz w:val="22"/>
          <w:szCs w:val="22"/>
        </w:rPr>
      </w:pPr>
      <w:r w:rsidRPr="00E21497">
        <w:rPr>
          <w:rFonts w:ascii="Arial" w:hAnsi="Arial" w:cs="Arial"/>
          <w:sz w:val="22"/>
          <w:szCs w:val="22"/>
        </w:rPr>
        <w:t xml:space="preserve">Agencies as defined in RCW </w:t>
      </w:r>
      <w:hyperlink r:id="rId8" w:history="1">
        <w:r w:rsidRPr="00E21497">
          <w:rPr>
            <w:rStyle w:val="Hyperlink"/>
            <w:rFonts w:ascii="Arial" w:hAnsi="Arial" w:cs="Arial"/>
            <w:sz w:val="22"/>
            <w:szCs w:val="22"/>
          </w:rPr>
          <w:t>41.06.020</w:t>
        </w:r>
      </w:hyperlink>
      <w:r w:rsidRPr="00E21497">
        <w:rPr>
          <w:rFonts w:ascii="Arial" w:hAnsi="Arial" w:cs="Arial"/>
          <w:sz w:val="22"/>
          <w:szCs w:val="22"/>
        </w:rPr>
        <w:t xml:space="preserve"> must at a minimum include the following in their policy on sexual harassment:</w:t>
      </w:r>
    </w:p>
    <w:p w14:paraId="492D1D1B"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(1) Indicate who is covered by the policy;</w:t>
      </w:r>
    </w:p>
    <w:p w14:paraId="62C26FB2"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 xml:space="preserve">(2) </w:t>
      </w:r>
      <w:proofErr w:type="gramStart"/>
      <w:r w:rsidRPr="00E21497">
        <w:rPr>
          <w:rFonts w:ascii="Arial" w:hAnsi="Arial" w:cs="Arial"/>
          <w:sz w:val="22"/>
          <w:szCs w:val="22"/>
        </w:rPr>
        <w:t>Provide</w:t>
      </w:r>
      <w:proofErr w:type="gramEnd"/>
      <w:r w:rsidRPr="00E21497">
        <w:rPr>
          <w:rFonts w:ascii="Arial" w:hAnsi="Arial" w:cs="Arial"/>
          <w:sz w:val="22"/>
          <w:szCs w:val="22"/>
        </w:rPr>
        <w:t xml:space="preserve"> that the employer is committed to providing a working environment free from sexual harassment of any kind;</w:t>
      </w:r>
    </w:p>
    <w:p w14:paraId="5843E62A"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(3) State that sexual harassment is an unlawful employment practice prohibited by Title VII of the Civil Rights Act of 1964 and RCW 49.60;</w:t>
      </w:r>
    </w:p>
    <w:p w14:paraId="3FE1C5AE"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(4) The definition of sexual harassment as defined by the Equal Employment Opportunity Commission;</w:t>
      </w:r>
    </w:p>
    <w:p w14:paraId="536977AE"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 xml:space="preserve">(5) Notify the employee or individual of their right to file a complaint with the Washington State Human Rights Commission under RCW </w:t>
      </w:r>
      <w:hyperlink r:id="rId9" w:history="1">
        <w:r w:rsidRPr="00E21497">
          <w:rPr>
            <w:rStyle w:val="Hyperlink"/>
            <w:rFonts w:ascii="Arial" w:hAnsi="Arial" w:cs="Arial"/>
            <w:sz w:val="22"/>
            <w:szCs w:val="22"/>
          </w:rPr>
          <w:t>49.60.230</w:t>
        </w:r>
      </w:hyperlink>
      <w:r w:rsidRPr="00E21497">
        <w:rPr>
          <w:rFonts w:ascii="Arial" w:hAnsi="Arial" w:cs="Arial"/>
          <w:sz w:val="22"/>
          <w:szCs w:val="22"/>
        </w:rPr>
        <w:t xml:space="preserve"> or the Federal Equal Employment Opportunity Commission under Title VII of the Civil Rights Act of 1964;</w:t>
      </w:r>
    </w:p>
    <w:p w14:paraId="10213564"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(6) Identify how and to whom employees or individuals may raise concerns or file complaints. The policy should allow multiple avenues for an employee or individual to raise complaints or concerns and should clearly identify the positions or entities charged with receiving these complaints;</w:t>
      </w:r>
    </w:p>
    <w:p w14:paraId="6509F55F"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(7) Advise all individuals covered by the policy that the employer is under a legal obligation to respond to allegations concerning a violation of the policy;</w:t>
      </w:r>
    </w:p>
    <w:p w14:paraId="4A17389E"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 xml:space="preserve">(8) </w:t>
      </w:r>
      <w:proofErr w:type="gramStart"/>
      <w:r w:rsidRPr="00E21497">
        <w:rPr>
          <w:rFonts w:ascii="Arial" w:hAnsi="Arial" w:cs="Arial"/>
          <w:sz w:val="22"/>
          <w:szCs w:val="22"/>
        </w:rPr>
        <w:t>Identify</w:t>
      </w:r>
      <w:proofErr w:type="gramEnd"/>
      <w:r w:rsidRPr="00E21497">
        <w:rPr>
          <w:rFonts w:ascii="Arial" w:hAnsi="Arial" w:cs="Arial"/>
          <w:sz w:val="22"/>
          <w:szCs w:val="22"/>
        </w:rPr>
        <w:t xml:space="preserve"> the manner by which the employer will respond to alleged violations of the policy, including a formal investigation if necessary;</w:t>
      </w:r>
    </w:p>
    <w:p w14:paraId="77E3EFF2"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 xml:space="preserve">(9) State that the complainant shall be informed of the status and the outcome of an </w:t>
      </w:r>
      <w:proofErr w:type="gramStart"/>
      <w:r w:rsidRPr="00E21497">
        <w:rPr>
          <w:rFonts w:ascii="Arial" w:hAnsi="Arial" w:cs="Arial"/>
          <w:sz w:val="22"/>
          <w:szCs w:val="22"/>
        </w:rPr>
        <w:t>investigation</w:t>
      </w:r>
      <w:proofErr w:type="gramEnd"/>
      <w:r w:rsidRPr="00E21497">
        <w:rPr>
          <w:rFonts w:ascii="Arial" w:hAnsi="Arial" w:cs="Arial"/>
          <w:sz w:val="22"/>
          <w:szCs w:val="22"/>
        </w:rPr>
        <w:t>;</w:t>
      </w:r>
    </w:p>
    <w:p w14:paraId="7E78FBFD"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(10) Identify the agency's investigation or response procedure;</w:t>
      </w:r>
    </w:p>
    <w:p w14:paraId="02681A77"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(11) Define the roles and responsibilities of employees, managers, supervisors, and others covered by the policy with respect to the following:</w:t>
      </w:r>
    </w:p>
    <w:p w14:paraId="6ECBFCF4"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(a) Preventing or not engaging in sexual harassment;</w:t>
      </w:r>
    </w:p>
    <w:p w14:paraId="22B3FF8D"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(b) Responding to concerns or allegations of violations of the policy;</w:t>
      </w:r>
    </w:p>
    <w:p w14:paraId="6E5F85C8"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(c) Participation in an investigation under the policy; and</w:t>
      </w:r>
    </w:p>
    <w:p w14:paraId="619C4762"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t>(d) The prohibition against retaliation.</w:t>
      </w:r>
    </w:p>
    <w:p w14:paraId="436B7303" w14:textId="77777777" w:rsidR="00E21497" w:rsidRPr="00E21497" w:rsidRDefault="00E21497" w:rsidP="00E21497">
      <w:pPr>
        <w:ind w:firstLine="720"/>
        <w:rPr>
          <w:rFonts w:ascii="Arial" w:hAnsi="Arial" w:cs="Arial"/>
          <w:sz w:val="22"/>
          <w:szCs w:val="22"/>
        </w:rPr>
      </w:pPr>
      <w:r w:rsidRPr="00E21497">
        <w:rPr>
          <w:rFonts w:ascii="Arial" w:hAnsi="Arial" w:cs="Arial"/>
          <w:sz w:val="22"/>
          <w:szCs w:val="22"/>
        </w:rPr>
        <w:lastRenderedPageBreak/>
        <w:t>(12) State that confidentiality cannot be guaranteed;</w:t>
      </w:r>
    </w:p>
    <w:p w14:paraId="55EA8E55" w14:textId="77A786AA" w:rsidR="00E21497" w:rsidRPr="00E21497" w:rsidRDefault="00E21497" w:rsidP="00E21497">
      <w:pPr>
        <w:ind w:firstLine="720"/>
        <w:rPr>
          <w:rFonts w:ascii="Arial" w:hAnsi="Arial" w:cs="Arial"/>
          <w:sz w:val="22"/>
          <w:szCs w:val="22"/>
          <w:u w:val="single"/>
        </w:rPr>
      </w:pPr>
      <w:r w:rsidRPr="00E21497">
        <w:rPr>
          <w:rFonts w:ascii="Arial" w:hAnsi="Arial" w:cs="Arial"/>
          <w:sz w:val="22"/>
          <w:szCs w:val="22"/>
        </w:rPr>
        <w:t xml:space="preserve">(13) </w:t>
      </w:r>
      <w:r>
        <w:rPr>
          <w:rFonts w:ascii="Arial" w:hAnsi="Arial" w:cs="Arial"/>
          <w:sz w:val="22"/>
          <w:szCs w:val="22"/>
          <w:u w:val="single"/>
        </w:rPr>
        <w:t xml:space="preserve">State that responses to public records requests will </w:t>
      </w:r>
      <w:r w:rsidR="00F0652D">
        <w:rPr>
          <w:rFonts w:ascii="Arial" w:hAnsi="Arial" w:cs="Arial"/>
          <w:sz w:val="22"/>
          <w:szCs w:val="22"/>
          <w:u w:val="single"/>
        </w:rPr>
        <w:t xml:space="preserve">be in accordance with RCW 42.56.660, 42.56.665 and 42.56.675, </w:t>
      </w:r>
    </w:p>
    <w:p w14:paraId="0C280FF6" w14:textId="04565203" w:rsidR="00E21497" w:rsidRPr="00E21497" w:rsidRDefault="00F0652D" w:rsidP="00E21497">
      <w:pPr>
        <w:ind w:firstLine="720"/>
        <w:rPr>
          <w:rFonts w:ascii="Arial" w:hAnsi="Arial" w:cs="Arial"/>
          <w:sz w:val="22"/>
          <w:szCs w:val="22"/>
        </w:rPr>
      </w:pPr>
      <w:r>
        <w:rPr>
          <w:rFonts w:ascii="Arial" w:hAnsi="Arial" w:cs="Arial"/>
          <w:sz w:val="22"/>
          <w:szCs w:val="22"/>
          <w:u w:val="single"/>
        </w:rPr>
        <w:t xml:space="preserve">(14) </w:t>
      </w:r>
      <w:proofErr w:type="gramStart"/>
      <w:r w:rsidR="00E21497" w:rsidRPr="00E21497">
        <w:rPr>
          <w:rFonts w:ascii="Arial" w:hAnsi="Arial" w:cs="Arial"/>
          <w:sz w:val="22"/>
          <w:szCs w:val="22"/>
        </w:rPr>
        <w:t>Advise</w:t>
      </w:r>
      <w:proofErr w:type="gramEnd"/>
      <w:r w:rsidR="00E21497" w:rsidRPr="00E21497">
        <w:rPr>
          <w:rFonts w:ascii="Arial" w:hAnsi="Arial" w:cs="Arial"/>
          <w:sz w:val="22"/>
          <w:szCs w:val="22"/>
        </w:rPr>
        <w:t xml:space="preserve"> that retaliation against individuals covered by the policy who report allegations of sexual harassment or who participate in an investigation is prohibited;</w:t>
      </w:r>
    </w:p>
    <w:p w14:paraId="77F909FC" w14:textId="3D1025BC" w:rsidR="00E21497" w:rsidRPr="00E21497" w:rsidRDefault="00E21497" w:rsidP="00E21497">
      <w:pPr>
        <w:ind w:firstLine="720"/>
        <w:rPr>
          <w:rFonts w:ascii="Arial" w:hAnsi="Arial" w:cs="Arial"/>
          <w:sz w:val="22"/>
          <w:szCs w:val="22"/>
        </w:rPr>
      </w:pPr>
      <w:r w:rsidRPr="00F0652D">
        <w:rPr>
          <w:rFonts w:ascii="Arial" w:hAnsi="Arial" w:cs="Arial"/>
          <w:strike/>
          <w:sz w:val="22"/>
          <w:szCs w:val="22"/>
        </w:rPr>
        <w:t>(14)</w:t>
      </w:r>
      <w:r w:rsidR="00F0652D">
        <w:rPr>
          <w:rFonts w:ascii="Arial" w:hAnsi="Arial" w:cs="Arial"/>
          <w:sz w:val="22"/>
          <w:szCs w:val="22"/>
          <w:u w:val="single"/>
        </w:rPr>
        <w:t>(15)</w:t>
      </w:r>
      <w:r w:rsidRPr="00E21497">
        <w:rPr>
          <w:rFonts w:ascii="Arial" w:hAnsi="Arial" w:cs="Arial"/>
          <w:sz w:val="22"/>
          <w:szCs w:val="22"/>
        </w:rPr>
        <w:t xml:space="preserve"> Advise that any employee found to have violated the policy will be subject to corrective and/or disciplinary action, up to and including dismissal;</w:t>
      </w:r>
    </w:p>
    <w:p w14:paraId="2800FC8A" w14:textId="39AEFE78" w:rsidR="00E21497" w:rsidRPr="00E21497" w:rsidRDefault="00E21497" w:rsidP="00E21497">
      <w:pPr>
        <w:ind w:firstLine="720"/>
        <w:rPr>
          <w:rFonts w:ascii="Arial" w:hAnsi="Arial" w:cs="Arial"/>
          <w:sz w:val="22"/>
          <w:szCs w:val="22"/>
        </w:rPr>
      </w:pPr>
      <w:r w:rsidRPr="00F0652D">
        <w:rPr>
          <w:rFonts w:ascii="Arial" w:hAnsi="Arial" w:cs="Arial"/>
          <w:strike/>
          <w:sz w:val="22"/>
          <w:szCs w:val="22"/>
        </w:rPr>
        <w:t>(15)</w:t>
      </w:r>
      <w:r w:rsidR="00F0652D" w:rsidRPr="00F0652D">
        <w:rPr>
          <w:rFonts w:ascii="Arial" w:hAnsi="Arial" w:cs="Arial"/>
          <w:sz w:val="22"/>
          <w:szCs w:val="22"/>
          <w:u w:val="single"/>
        </w:rPr>
        <w:t>(16)</w:t>
      </w:r>
      <w:r w:rsidRPr="00E21497">
        <w:rPr>
          <w:rFonts w:ascii="Arial" w:hAnsi="Arial" w:cs="Arial"/>
          <w:sz w:val="22"/>
          <w:szCs w:val="22"/>
        </w:rPr>
        <w:t xml:space="preserve"> Advise that any employee found to have retaliated against individuals covered by the policy who report allegations of sexual harassment or who participate in an investigation will be subject to corrective and/or disciplinary action, up to and including dismissal; and</w:t>
      </w:r>
    </w:p>
    <w:p w14:paraId="48E4F480" w14:textId="24798119" w:rsidR="00E21497" w:rsidRPr="00064C98" w:rsidRDefault="00E21497" w:rsidP="00E21497">
      <w:pPr>
        <w:ind w:firstLine="720"/>
        <w:rPr>
          <w:rFonts w:ascii="Arial" w:hAnsi="Arial" w:cs="Arial"/>
          <w:sz w:val="22"/>
          <w:szCs w:val="22"/>
        </w:rPr>
      </w:pPr>
      <w:r w:rsidRPr="00F0652D">
        <w:rPr>
          <w:rFonts w:ascii="Arial" w:hAnsi="Arial" w:cs="Arial"/>
          <w:strike/>
          <w:sz w:val="22"/>
          <w:szCs w:val="22"/>
        </w:rPr>
        <w:t>(16)</w:t>
      </w:r>
      <w:r w:rsidR="00F0652D">
        <w:rPr>
          <w:rFonts w:ascii="Arial" w:hAnsi="Arial" w:cs="Arial"/>
          <w:sz w:val="22"/>
          <w:szCs w:val="22"/>
          <w:u w:val="single"/>
        </w:rPr>
        <w:t>(17)</w:t>
      </w:r>
      <w:r w:rsidRPr="00E21497">
        <w:rPr>
          <w:rFonts w:ascii="Arial" w:hAnsi="Arial" w:cs="Arial"/>
          <w:sz w:val="22"/>
          <w:szCs w:val="22"/>
        </w:rPr>
        <w:t xml:space="preserve"> State </w:t>
      </w:r>
      <w:r w:rsidRPr="00064C98">
        <w:rPr>
          <w:rFonts w:ascii="Arial" w:hAnsi="Arial" w:cs="Arial"/>
          <w:sz w:val="22"/>
          <w:szCs w:val="22"/>
        </w:rPr>
        <w:t xml:space="preserve">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w:t>
      </w:r>
      <w:hyperlink r:id="rId10" w:history="1">
        <w:r w:rsidRPr="00064C98">
          <w:rPr>
            <w:rStyle w:val="Hyperlink"/>
            <w:rFonts w:ascii="Arial" w:hAnsi="Arial" w:cs="Arial"/>
            <w:sz w:val="22"/>
            <w:szCs w:val="22"/>
          </w:rPr>
          <w:t>49.44.210</w:t>
        </w:r>
      </w:hyperlink>
      <w:r w:rsidRPr="00064C98">
        <w:rPr>
          <w:rFonts w:ascii="Arial" w:hAnsi="Arial" w:cs="Arial"/>
          <w:sz w:val="22"/>
          <w:szCs w:val="22"/>
        </w:rPr>
        <w:t>.</w:t>
      </w:r>
    </w:p>
    <w:p w14:paraId="1284BF73" w14:textId="77777777" w:rsidR="00E21497" w:rsidRPr="00064C98" w:rsidRDefault="00E21497" w:rsidP="00E21497">
      <w:pPr>
        <w:ind w:firstLine="720"/>
        <w:rPr>
          <w:rFonts w:ascii="Arial" w:hAnsi="Arial" w:cs="Arial"/>
          <w:sz w:val="22"/>
          <w:szCs w:val="22"/>
        </w:rPr>
      </w:pPr>
      <w:r w:rsidRPr="00064C98">
        <w:rPr>
          <w:rFonts w:ascii="Arial" w:hAnsi="Arial" w:cs="Arial"/>
          <w:sz w:val="22"/>
          <w:szCs w:val="22"/>
        </w:rPr>
        <w:t xml:space="preserve">For the purposes of this subsection, "employee" has the same meaning as defined in RCW </w:t>
      </w:r>
      <w:hyperlink r:id="rId11" w:history="1">
        <w:r w:rsidRPr="00064C98">
          <w:rPr>
            <w:rStyle w:val="Hyperlink"/>
            <w:rFonts w:ascii="Arial" w:hAnsi="Arial" w:cs="Arial"/>
            <w:sz w:val="22"/>
            <w:szCs w:val="22"/>
          </w:rPr>
          <w:t>49.44.210</w:t>
        </w:r>
      </w:hyperlink>
      <w:r w:rsidRPr="00064C98">
        <w:rPr>
          <w:rFonts w:ascii="Arial" w:hAnsi="Arial" w:cs="Arial"/>
          <w:sz w:val="22"/>
          <w:szCs w:val="22"/>
        </w:rPr>
        <w:t>.</w:t>
      </w:r>
    </w:p>
    <w:p w14:paraId="2F8A5721" w14:textId="15EB33F7" w:rsidR="002B0FD2" w:rsidRPr="00064C98" w:rsidRDefault="002B0FD2" w:rsidP="00B16B4B">
      <w:pPr>
        <w:rPr>
          <w:rFonts w:ascii="Arial" w:hAnsi="Arial" w:cs="Arial"/>
          <w:sz w:val="22"/>
          <w:szCs w:val="22"/>
        </w:rPr>
      </w:pPr>
    </w:p>
    <w:p w14:paraId="2A26D069" w14:textId="77777777" w:rsidR="00043605" w:rsidRPr="00064C98" w:rsidRDefault="00043605" w:rsidP="00043605">
      <w:pPr>
        <w:rPr>
          <w:rFonts w:ascii="Arial" w:hAnsi="Arial" w:cs="Arial"/>
          <w:b/>
          <w:sz w:val="22"/>
          <w:szCs w:val="22"/>
          <w:u w:val="single"/>
        </w:rPr>
      </w:pPr>
    </w:p>
    <w:p w14:paraId="7145CCE6" w14:textId="0487913F" w:rsidR="00064C98" w:rsidRDefault="00064C98" w:rsidP="00064C98">
      <w:pPr>
        <w:keepNext/>
        <w:rPr>
          <w:rFonts w:ascii="Arial" w:hAnsi="Arial" w:cs="Arial"/>
          <w:b/>
          <w:sz w:val="22"/>
          <w:szCs w:val="22"/>
          <w:u w:val="single"/>
        </w:rPr>
      </w:pPr>
      <w:r w:rsidRPr="00064C98">
        <w:rPr>
          <w:rFonts w:ascii="Arial" w:hAnsi="Arial" w:cs="Arial"/>
          <w:b/>
          <w:sz w:val="22"/>
          <w:szCs w:val="22"/>
          <w:u w:val="single"/>
        </w:rPr>
        <w:t>ITEM #2 – Part-time and Temporary Rules</w:t>
      </w:r>
    </w:p>
    <w:p w14:paraId="5FDBCB71" w14:textId="77777777" w:rsidR="00064C98" w:rsidRPr="00064C98" w:rsidRDefault="00064C98" w:rsidP="00064C98">
      <w:pPr>
        <w:keepNext/>
        <w:rPr>
          <w:rFonts w:ascii="Arial" w:hAnsi="Arial" w:cs="Arial"/>
          <w:b/>
          <w:sz w:val="22"/>
          <w:szCs w:val="22"/>
          <w:u w:val="single"/>
        </w:rPr>
      </w:pPr>
    </w:p>
    <w:p w14:paraId="1DD28560" w14:textId="77777777" w:rsidR="00064C98" w:rsidRPr="00064C98" w:rsidRDefault="00064C98" w:rsidP="00064C98">
      <w:pPr>
        <w:keepNext/>
        <w:spacing w:after="200"/>
        <w:rPr>
          <w:rFonts w:ascii="Arial" w:hAnsi="Arial" w:cs="Arial"/>
          <w:sz w:val="22"/>
          <w:szCs w:val="22"/>
        </w:rPr>
      </w:pPr>
      <w:r w:rsidRPr="00064C98">
        <w:rPr>
          <w:rFonts w:ascii="Arial" w:hAnsi="Arial" w:cs="Arial"/>
          <w:b/>
          <w:sz w:val="22"/>
          <w:szCs w:val="22"/>
          <w:u w:val="single"/>
        </w:rPr>
        <w:t>Staff note:</w:t>
      </w:r>
      <w:r w:rsidRPr="00064C98">
        <w:rPr>
          <w:rFonts w:ascii="Arial" w:hAnsi="Arial" w:cs="Arial"/>
          <w:sz w:val="22"/>
          <w:szCs w:val="22"/>
        </w:rPr>
        <w:t xml:space="preserve">  </w:t>
      </w:r>
      <w:hyperlink r:id="rId12" w:history="1">
        <w:r w:rsidRPr="00064C98">
          <w:rPr>
            <w:rStyle w:val="Hyperlink"/>
            <w:rFonts w:ascii="Arial" w:hAnsi="Arial" w:cs="Arial"/>
            <w:sz w:val="22"/>
            <w:szCs w:val="22"/>
          </w:rPr>
          <w:t>RCW 41.06.070</w:t>
        </w:r>
      </w:hyperlink>
      <w:r w:rsidRPr="00064C98">
        <w:rPr>
          <w:rFonts w:ascii="Arial" w:hAnsi="Arial" w:cs="Arial"/>
          <w:sz w:val="22"/>
          <w:szCs w:val="22"/>
        </w:rPr>
        <w:t xml:space="preserve"> formerly exempted both part-time and temporary employees, as defined by the Office of Financial Management, from state civil service laws. In 2018, the legislature amended RCW 41.06.070 by removing part-time employees from the exemption; only temporary employees, as defined by OFM, are now exempt from civil service laws (</w:t>
      </w:r>
      <w:hyperlink r:id="rId13" w:history="1">
        <w:r w:rsidRPr="00064C98">
          <w:rPr>
            <w:rStyle w:val="Hyperlink"/>
            <w:rFonts w:ascii="Arial" w:hAnsi="Arial" w:cs="Arial"/>
            <w:sz w:val="22"/>
            <w:szCs w:val="22"/>
          </w:rPr>
          <w:t>Laws of 2018, chapter 246, section 1</w:t>
        </w:r>
      </w:hyperlink>
      <w:r w:rsidRPr="00064C98">
        <w:rPr>
          <w:rFonts w:ascii="Arial" w:hAnsi="Arial" w:cs="Arial"/>
          <w:sz w:val="22"/>
          <w:szCs w:val="22"/>
        </w:rPr>
        <w:t xml:space="preserve">). The current civil service rules (Title 357 WAC) do not distinguish between part-time and temporary employees of higher education institutions. We are proposing the following rule amendments in order to bring the civil service rules into alignment with the new law. </w:t>
      </w:r>
    </w:p>
    <w:p w14:paraId="3053640E" w14:textId="3A1D7365" w:rsidR="00064C98" w:rsidRDefault="00064C98" w:rsidP="00064C98">
      <w:pPr>
        <w:keepNext/>
        <w:spacing w:after="200"/>
        <w:rPr>
          <w:rFonts w:ascii="Arial" w:hAnsi="Arial" w:cs="Arial"/>
          <w:sz w:val="22"/>
          <w:szCs w:val="22"/>
        </w:rPr>
      </w:pPr>
      <w:r w:rsidRPr="00064C98">
        <w:rPr>
          <w:rFonts w:ascii="Arial" w:hAnsi="Arial" w:cs="Arial"/>
          <w:sz w:val="22"/>
          <w:szCs w:val="22"/>
        </w:rPr>
        <w:t>The preproposal statement of inquiry (</w:t>
      </w:r>
      <w:hyperlink r:id="rId14" w:history="1">
        <w:r w:rsidRPr="00064C98">
          <w:rPr>
            <w:rStyle w:val="Hyperlink"/>
            <w:rFonts w:ascii="Arial" w:hAnsi="Arial" w:cs="Arial"/>
            <w:sz w:val="22"/>
            <w:szCs w:val="22"/>
          </w:rPr>
          <w:t>CR-101</w:t>
        </w:r>
      </w:hyperlink>
      <w:r w:rsidRPr="00064C98">
        <w:rPr>
          <w:rFonts w:ascii="Arial" w:hAnsi="Arial" w:cs="Arial"/>
          <w:sz w:val="22"/>
          <w:szCs w:val="22"/>
        </w:rPr>
        <w:t>) was filed with the Office of the Code Reviser on July 26, 2019, WSR 19-16-028.</w:t>
      </w:r>
    </w:p>
    <w:p w14:paraId="16E0BEE3" w14:textId="1AAB8D53" w:rsidR="00081C90" w:rsidRPr="00081C90" w:rsidRDefault="00081C90" w:rsidP="00064C98">
      <w:pPr>
        <w:keepNext/>
        <w:spacing w:after="200"/>
        <w:rPr>
          <w:rFonts w:ascii="Arial" w:hAnsi="Arial" w:cs="Arial"/>
          <w:color w:val="FF0000"/>
          <w:sz w:val="22"/>
          <w:szCs w:val="22"/>
        </w:rPr>
      </w:pPr>
      <w:r w:rsidRPr="00081C90">
        <w:rPr>
          <w:rFonts w:ascii="Arial" w:hAnsi="Arial" w:cs="Arial"/>
          <w:color w:val="FF0000"/>
          <w:sz w:val="22"/>
          <w:szCs w:val="22"/>
        </w:rPr>
        <w:t>The text in red text below under WAC</w:t>
      </w:r>
      <w:r>
        <w:rPr>
          <w:rFonts w:ascii="Arial" w:hAnsi="Arial" w:cs="Arial"/>
          <w:color w:val="FF0000"/>
          <w:sz w:val="22"/>
          <w:szCs w:val="22"/>
        </w:rPr>
        <w:t>s 357-04-035 and</w:t>
      </w:r>
      <w:r w:rsidRPr="00081C90">
        <w:rPr>
          <w:rFonts w:ascii="Arial" w:hAnsi="Arial" w:cs="Arial"/>
          <w:color w:val="FF0000"/>
          <w:sz w:val="22"/>
          <w:szCs w:val="22"/>
        </w:rPr>
        <w:t xml:space="preserve"> 357-04-045</w:t>
      </w:r>
      <w:r>
        <w:rPr>
          <w:rFonts w:ascii="Arial" w:hAnsi="Arial" w:cs="Arial"/>
          <w:color w:val="FF0000"/>
          <w:sz w:val="22"/>
          <w:szCs w:val="22"/>
        </w:rPr>
        <w:t xml:space="preserve"> are</w:t>
      </w:r>
      <w:r w:rsidRPr="00081C90">
        <w:rPr>
          <w:rFonts w:ascii="Arial" w:hAnsi="Arial" w:cs="Arial"/>
          <w:color w:val="FF0000"/>
          <w:sz w:val="22"/>
          <w:szCs w:val="22"/>
        </w:rPr>
        <w:t xml:space="preserve"> revised language.</w:t>
      </w:r>
    </w:p>
    <w:p w14:paraId="7171688A" w14:textId="374F2F13" w:rsidR="00064C98" w:rsidRPr="00243192" w:rsidRDefault="00064C98" w:rsidP="00064C98">
      <w:pPr>
        <w:rPr>
          <w:rFonts w:ascii="Arial" w:hAnsi="Arial" w:cs="Arial"/>
          <w:sz w:val="22"/>
          <w:szCs w:val="22"/>
        </w:rPr>
      </w:pPr>
      <w:r w:rsidRPr="00243192">
        <w:rPr>
          <w:rFonts w:ascii="Arial" w:hAnsi="Arial" w:cs="Arial"/>
          <w:sz w:val="22"/>
          <w:szCs w:val="22"/>
        </w:rPr>
        <w:t xml:space="preserve">Lead:  </w:t>
      </w:r>
      <w:r>
        <w:rPr>
          <w:rFonts w:ascii="Arial" w:hAnsi="Arial" w:cs="Arial"/>
          <w:sz w:val="22"/>
          <w:szCs w:val="22"/>
        </w:rPr>
        <w:t>Brandy Chinn</w:t>
      </w:r>
    </w:p>
    <w:p w14:paraId="0A323F10" w14:textId="77777777" w:rsidR="00064C98" w:rsidRPr="00064C98" w:rsidRDefault="00064C98" w:rsidP="00064C98">
      <w:pPr>
        <w:pStyle w:val="Heading3"/>
        <w:spacing w:before="0"/>
        <w:rPr>
          <w:rFonts w:ascii="Arial" w:hAnsi="Arial" w:cs="Arial"/>
          <w:b w:val="0"/>
          <w:sz w:val="22"/>
          <w:szCs w:val="22"/>
          <w:u w:val="single"/>
        </w:rPr>
      </w:pPr>
    </w:p>
    <w:p w14:paraId="7019A088" w14:textId="77777777" w:rsidR="00064C98" w:rsidRDefault="00064C98" w:rsidP="00064C98">
      <w:pPr>
        <w:pStyle w:val="Heading3"/>
        <w:spacing w:before="0"/>
        <w:rPr>
          <w:rFonts w:ascii="Arial" w:hAnsi="Arial" w:cs="Arial"/>
          <w:b w:val="0"/>
          <w:color w:val="auto"/>
          <w:sz w:val="22"/>
          <w:szCs w:val="22"/>
          <w:u w:val="single"/>
        </w:rPr>
      </w:pPr>
    </w:p>
    <w:p w14:paraId="424A477D"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REFERENCE ONLY (NO CHANGE)</w:t>
      </w:r>
    </w:p>
    <w:p w14:paraId="36A55131" w14:textId="77777777" w:rsidR="00064C98" w:rsidRPr="00064C98" w:rsidRDefault="00064C98" w:rsidP="00064C98">
      <w:pPr>
        <w:outlineLvl w:val="2"/>
        <w:rPr>
          <w:rFonts w:ascii="Arial" w:hAnsi="Arial" w:cs="Arial"/>
          <w:b/>
          <w:bCs/>
          <w:sz w:val="22"/>
          <w:szCs w:val="22"/>
        </w:rPr>
      </w:pPr>
    </w:p>
    <w:p w14:paraId="50333B1A" w14:textId="7C53DDEC"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WAC 357-19-441</w:t>
      </w:r>
      <w:r>
        <w:rPr>
          <w:rFonts w:ascii="Arial" w:hAnsi="Arial" w:cs="Arial"/>
          <w:b/>
          <w:bCs/>
          <w:sz w:val="22"/>
          <w:szCs w:val="22"/>
        </w:rPr>
        <w:t xml:space="preserve"> </w:t>
      </w:r>
      <w:r w:rsidRPr="00064C98">
        <w:rPr>
          <w:rFonts w:ascii="Arial" w:hAnsi="Arial" w:cs="Arial"/>
          <w:b/>
          <w:bCs/>
          <w:sz w:val="22"/>
          <w:szCs w:val="22"/>
        </w:rPr>
        <w:t>What provisions of civil service rules apply to individuals in temporary appointments?</w:t>
      </w:r>
    </w:p>
    <w:p w14:paraId="5125ED3C" w14:textId="77777777" w:rsidR="00022B0F" w:rsidRDefault="00022B0F" w:rsidP="00022B0F">
      <w:pPr>
        <w:rPr>
          <w:rFonts w:ascii="Arial" w:hAnsi="Arial" w:cs="Arial"/>
          <w:sz w:val="22"/>
          <w:szCs w:val="22"/>
        </w:rPr>
      </w:pPr>
    </w:p>
    <w:p w14:paraId="586F2418" w14:textId="00A19035" w:rsidR="00064C98" w:rsidRPr="00064C98" w:rsidRDefault="00064C98" w:rsidP="00022B0F">
      <w:pPr>
        <w:rPr>
          <w:rFonts w:ascii="Arial" w:hAnsi="Arial" w:cs="Arial"/>
          <w:sz w:val="22"/>
          <w:szCs w:val="22"/>
        </w:rPr>
      </w:pPr>
      <w:r w:rsidRPr="00064C98">
        <w:rPr>
          <w:rFonts w:ascii="Arial" w:hAnsi="Arial" w:cs="Arial"/>
          <w:sz w:val="22"/>
          <w:szCs w:val="22"/>
        </w:rPr>
        <w:t xml:space="preserve">(1) Individuals appointed to temporary appointments under the provisions of WAC </w:t>
      </w:r>
      <w:hyperlink r:id="rId15" w:history="1">
        <w:r w:rsidRPr="00064C98">
          <w:rPr>
            <w:rFonts w:ascii="Arial" w:hAnsi="Arial" w:cs="Arial"/>
            <w:sz w:val="22"/>
            <w:szCs w:val="22"/>
            <w:u w:val="single"/>
          </w:rPr>
          <w:t>357-19-435</w:t>
        </w:r>
      </w:hyperlink>
      <w:r w:rsidRPr="00064C98">
        <w:rPr>
          <w:rFonts w:ascii="Arial" w:hAnsi="Arial" w:cs="Arial"/>
          <w:sz w:val="22"/>
          <w:szCs w:val="22"/>
        </w:rPr>
        <w:t xml:space="preserve">(1) are exempt from the civil service rules except for the provisions of remedial action as provided in WAC </w:t>
      </w:r>
      <w:hyperlink r:id="rId16" w:history="1">
        <w:r w:rsidRPr="00064C98">
          <w:rPr>
            <w:rFonts w:ascii="Arial" w:hAnsi="Arial" w:cs="Arial"/>
            <w:sz w:val="22"/>
            <w:szCs w:val="22"/>
            <w:u w:val="single"/>
          </w:rPr>
          <w:t>357-04-045</w:t>
        </w:r>
      </w:hyperlink>
      <w:r w:rsidRPr="00064C98">
        <w:rPr>
          <w:rFonts w:ascii="Arial" w:hAnsi="Arial" w:cs="Arial"/>
          <w:sz w:val="22"/>
          <w:szCs w:val="22"/>
        </w:rPr>
        <w:t xml:space="preserve"> and </w:t>
      </w:r>
      <w:hyperlink r:id="rId17" w:history="1">
        <w:r w:rsidRPr="00064C98">
          <w:rPr>
            <w:rFonts w:ascii="Arial" w:hAnsi="Arial" w:cs="Arial"/>
            <w:sz w:val="22"/>
            <w:szCs w:val="22"/>
            <w:u w:val="single"/>
          </w:rPr>
          <w:t>357-19-450</w:t>
        </w:r>
      </w:hyperlink>
      <w:r w:rsidRPr="00064C98">
        <w:rPr>
          <w:rFonts w:ascii="Arial" w:hAnsi="Arial" w:cs="Arial"/>
          <w:sz w:val="22"/>
          <w:szCs w:val="22"/>
        </w:rPr>
        <w:t>.</w:t>
      </w:r>
    </w:p>
    <w:p w14:paraId="3AC889C8"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Employees temporarily assigned higher level duties under the provisions of WAC </w:t>
      </w:r>
      <w:hyperlink r:id="rId18" w:history="1">
        <w:r w:rsidRPr="00064C98">
          <w:rPr>
            <w:rFonts w:ascii="Arial" w:hAnsi="Arial" w:cs="Arial"/>
            <w:sz w:val="22"/>
            <w:szCs w:val="22"/>
            <w:u w:val="single"/>
          </w:rPr>
          <w:t>357-19-435</w:t>
        </w:r>
      </w:hyperlink>
      <w:r w:rsidRPr="00064C98">
        <w:rPr>
          <w:rFonts w:ascii="Arial" w:hAnsi="Arial" w:cs="Arial"/>
          <w:sz w:val="22"/>
          <w:szCs w:val="22"/>
        </w:rPr>
        <w:t>(2) are classified employees and as such are covered by the civil service rules.</w:t>
      </w:r>
    </w:p>
    <w:p w14:paraId="3A5A8810" w14:textId="77777777" w:rsidR="00064C98" w:rsidRPr="00064C98" w:rsidRDefault="00064C98" w:rsidP="00064C98">
      <w:pPr>
        <w:ind w:firstLine="720"/>
        <w:rPr>
          <w:rFonts w:ascii="Arial" w:hAnsi="Arial" w:cs="Arial"/>
          <w:sz w:val="22"/>
          <w:szCs w:val="22"/>
        </w:rPr>
      </w:pPr>
    </w:p>
    <w:p w14:paraId="68D20777" w14:textId="77777777" w:rsidR="00914E48" w:rsidRDefault="00914E48">
      <w:pPr>
        <w:spacing w:after="200" w:line="276" w:lineRule="auto"/>
        <w:rPr>
          <w:rFonts w:ascii="Arial" w:hAnsi="Arial" w:cs="Arial"/>
          <w:sz w:val="22"/>
          <w:szCs w:val="22"/>
          <w:u w:val="single"/>
        </w:rPr>
      </w:pPr>
      <w:r>
        <w:rPr>
          <w:rFonts w:ascii="Arial" w:hAnsi="Arial" w:cs="Arial"/>
          <w:sz w:val="22"/>
          <w:szCs w:val="22"/>
          <w:u w:val="single"/>
        </w:rPr>
        <w:br w:type="page"/>
      </w:r>
    </w:p>
    <w:p w14:paraId="4EE60D1D" w14:textId="7C01B6E2" w:rsidR="00064C98" w:rsidRPr="00064C98" w:rsidRDefault="00064C98" w:rsidP="00064C98">
      <w:pPr>
        <w:spacing w:after="200" w:line="276" w:lineRule="auto"/>
        <w:rPr>
          <w:rFonts w:ascii="Arial" w:hAnsi="Arial" w:cs="Arial"/>
          <w:b/>
          <w:sz w:val="22"/>
          <w:szCs w:val="22"/>
          <w:u w:val="single"/>
        </w:rPr>
      </w:pPr>
      <w:r w:rsidRPr="00064C98">
        <w:rPr>
          <w:rFonts w:ascii="Arial" w:hAnsi="Arial" w:cs="Arial"/>
          <w:sz w:val="22"/>
          <w:szCs w:val="22"/>
          <w:u w:val="single"/>
        </w:rPr>
        <w:lastRenderedPageBreak/>
        <w:t>REFERENCE ONLY (NO CHANGE)</w:t>
      </w:r>
    </w:p>
    <w:p w14:paraId="5F83A2DA" w14:textId="5AF60B15"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WAC 357-19-443</w:t>
      </w:r>
      <w:r>
        <w:rPr>
          <w:rFonts w:ascii="Arial" w:hAnsi="Arial" w:cs="Arial"/>
          <w:b/>
          <w:bCs/>
          <w:sz w:val="22"/>
          <w:szCs w:val="22"/>
        </w:rPr>
        <w:t xml:space="preserve"> </w:t>
      </w:r>
      <w:r w:rsidRPr="00064C98">
        <w:rPr>
          <w:rFonts w:ascii="Arial" w:hAnsi="Arial" w:cs="Arial"/>
          <w:b/>
          <w:bCs/>
          <w:sz w:val="22"/>
          <w:szCs w:val="22"/>
        </w:rPr>
        <w:t xml:space="preserve">Does a permanent employee who is temporarily appointed to a higher level class under the provision of WAC </w:t>
      </w:r>
      <w:hyperlink r:id="rId19" w:history="1">
        <w:r w:rsidRPr="00064C98">
          <w:rPr>
            <w:rFonts w:ascii="Arial" w:hAnsi="Arial" w:cs="Arial"/>
            <w:b/>
            <w:bCs/>
            <w:sz w:val="22"/>
            <w:szCs w:val="22"/>
            <w:u w:val="single"/>
          </w:rPr>
          <w:t>357-19-435</w:t>
        </w:r>
      </w:hyperlink>
      <w:r w:rsidRPr="00064C98">
        <w:rPr>
          <w:rFonts w:ascii="Arial" w:hAnsi="Arial" w:cs="Arial"/>
          <w:b/>
          <w:bCs/>
          <w:sz w:val="22"/>
          <w:szCs w:val="22"/>
        </w:rPr>
        <w:t>(2) have the right to resume a position at the conclusion of the temporary appointment?</w:t>
      </w:r>
    </w:p>
    <w:p w14:paraId="580B63D4" w14:textId="77777777" w:rsidR="00064C98" w:rsidRPr="00064C98" w:rsidRDefault="00064C98" w:rsidP="00022B0F">
      <w:pPr>
        <w:rPr>
          <w:rFonts w:ascii="Arial" w:hAnsi="Arial" w:cs="Arial"/>
          <w:sz w:val="22"/>
          <w:szCs w:val="22"/>
        </w:rPr>
      </w:pPr>
      <w:r w:rsidRPr="00064C98">
        <w:rPr>
          <w:rFonts w:ascii="Arial" w:hAnsi="Arial" w:cs="Arial"/>
          <w:sz w:val="22"/>
          <w:szCs w:val="22"/>
        </w:rPr>
        <w:t xml:space="preserve">At the conclusion of a temporary appointment to a higher level class under the provisions of WAC </w:t>
      </w:r>
      <w:hyperlink r:id="rId20" w:history="1">
        <w:r w:rsidRPr="00064C98">
          <w:rPr>
            <w:rFonts w:ascii="Arial" w:hAnsi="Arial" w:cs="Arial"/>
            <w:sz w:val="22"/>
            <w:szCs w:val="22"/>
            <w:u w:val="single"/>
          </w:rPr>
          <w:t>357-19-435</w:t>
        </w:r>
      </w:hyperlink>
      <w:r w:rsidRPr="00064C98">
        <w:rPr>
          <w:rFonts w:ascii="Arial" w:hAnsi="Arial" w:cs="Arial"/>
          <w:sz w:val="22"/>
          <w:szCs w:val="22"/>
        </w:rPr>
        <w:t>(2), a permanent employee has a right to resume a position in the class the employee was in prior to the temporary appointment. Upon return to a position in the prior class, the employee's base salary is reinstated and the employee is credited with any increment increases that would have occurred had the employee not been temporarily appointed to a higher class.</w:t>
      </w:r>
    </w:p>
    <w:p w14:paraId="4DFC9C24" w14:textId="77777777" w:rsidR="00064C98" w:rsidRDefault="00064C98" w:rsidP="00064C98">
      <w:pPr>
        <w:pStyle w:val="Heading3"/>
        <w:spacing w:before="0"/>
        <w:rPr>
          <w:rFonts w:ascii="Arial" w:hAnsi="Arial" w:cs="Arial"/>
          <w:b w:val="0"/>
          <w:color w:val="auto"/>
          <w:sz w:val="22"/>
          <w:szCs w:val="22"/>
          <w:u w:val="single"/>
        </w:rPr>
      </w:pPr>
    </w:p>
    <w:p w14:paraId="44A9F159" w14:textId="2C04C4BF"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469CC770" w14:textId="77777777" w:rsidR="00064C98" w:rsidRPr="00064C98" w:rsidRDefault="00064C98" w:rsidP="00064C98">
      <w:pPr>
        <w:pStyle w:val="Heading3"/>
        <w:spacing w:before="0"/>
        <w:rPr>
          <w:rFonts w:ascii="Arial" w:hAnsi="Arial" w:cs="Arial"/>
          <w:color w:val="auto"/>
          <w:sz w:val="22"/>
          <w:szCs w:val="22"/>
          <w:u w:val="single"/>
        </w:rPr>
      </w:pPr>
    </w:p>
    <w:p w14:paraId="079BE0F1" w14:textId="77777777" w:rsidR="00064C98" w:rsidRPr="00064C98" w:rsidRDefault="00064C98" w:rsidP="00064C98">
      <w:pPr>
        <w:pStyle w:val="Heading3"/>
        <w:spacing w:before="0"/>
        <w:rPr>
          <w:rFonts w:ascii="Arial" w:hAnsi="Arial" w:cs="Arial"/>
          <w:color w:val="auto"/>
          <w:sz w:val="22"/>
          <w:szCs w:val="22"/>
        </w:rPr>
      </w:pPr>
      <w:r w:rsidRPr="00064C98">
        <w:rPr>
          <w:rFonts w:ascii="Arial" w:hAnsi="Arial" w:cs="Arial"/>
          <w:color w:val="auto"/>
          <w:sz w:val="22"/>
          <w:szCs w:val="22"/>
        </w:rPr>
        <w:t>WAC 357-04-015 Who is not covered by civil service rules?</w:t>
      </w:r>
    </w:p>
    <w:p w14:paraId="22CB4E7D" w14:textId="77777777" w:rsidR="00022B0F" w:rsidRDefault="00022B0F" w:rsidP="00064C98">
      <w:pPr>
        <w:rPr>
          <w:rFonts w:ascii="Arial" w:hAnsi="Arial" w:cs="Arial"/>
          <w:sz w:val="22"/>
          <w:szCs w:val="22"/>
        </w:rPr>
      </w:pPr>
    </w:p>
    <w:p w14:paraId="02113B72" w14:textId="38E420CE" w:rsidR="00064C98" w:rsidRPr="00064C98" w:rsidRDefault="00064C98" w:rsidP="00064C98">
      <w:pPr>
        <w:rPr>
          <w:rFonts w:ascii="Arial" w:hAnsi="Arial" w:cs="Arial"/>
          <w:sz w:val="22"/>
          <w:szCs w:val="22"/>
        </w:rPr>
      </w:pPr>
      <w:r w:rsidRPr="00064C98">
        <w:rPr>
          <w:rFonts w:ascii="Arial" w:hAnsi="Arial" w:cs="Arial"/>
          <w:sz w:val="22"/>
          <w:szCs w:val="22"/>
        </w:rPr>
        <w:t xml:space="preserve">The civil service rules do not apply to positions specifically exempted in individual agency statutes, chapter </w:t>
      </w:r>
      <w:hyperlink r:id="rId21" w:history="1">
        <w:r w:rsidRPr="00064C98">
          <w:rPr>
            <w:rStyle w:val="Hyperlink"/>
            <w:rFonts w:ascii="Arial" w:hAnsi="Arial" w:cs="Arial"/>
            <w:color w:val="auto"/>
            <w:sz w:val="22"/>
            <w:szCs w:val="22"/>
          </w:rPr>
          <w:t>41.06</w:t>
        </w:r>
      </w:hyperlink>
      <w:r w:rsidRPr="00064C98">
        <w:rPr>
          <w:rFonts w:ascii="Arial" w:hAnsi="Arial" w:cs="Arial"/>
          <w:sz w:val="22"/>
          <w:szCs w:val="22"/>
        </w:rPr>
        <w:t xml:space="preserve"> RCW, and to the following:</w:t>
      </w:r>
    </w:p>
    <w:p w14:paraId="6A22393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(1) Washington state patrol trooper cadets in training for commissioning as troopers in the Washington state patrol;</w:t>
      </w:r>
    </w:p>
    <w:p w14:paraId="3DFAB52D"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The executive director, </w:t>
      </w:r>
      <w:r w:rsidRPr="00064C98">
        <w:rPr>
          <w:rFonts w:ascii="Arial" w:hAnsi="Arial" w:cs="Arial"/>
          <w:strike/>
          <w:sz w:val="22"/>
          <w:szCs w:val="22"/>
        </w:rPr>
        <w:t>his/her</w:t>
      </w:r>
      <w:r w:rsidRPr="00064C98">
        <w:rPr>
          <w:rFonts w:ascii="Arial" w:hAnsi="Arial" w:cs="Arial"/>
          <w:sz w:val="22"/>
          <w:szCs w:val="22"/>
        </w:rPr>
        <w:t xml:space="preserve"> </w:t>
      </w:r>
      <w:r w:rsidRPr="00064C98">
        <w:rPr>
          <w:rFonts w:ascii="Arial" w:hAnsi="Arial" w:cs="Arial"/>
          <w:sz w:val="22"/>
          <w:szCs w:val="22"/>
          <w:u w:val="single"/>
        </w:rPr>
        <w:t xml:space="preserve">executive director’s </w:t>
      </w:r>
      <w:r w:rsidRPr="00064C98">
        <w:rPr>
          <w:rFonts w:ascii="Arial" w:hAnsi="Arial" w:cs="Arial"/>
          <w:sz w:val="22"/>
          <w:szCs w:val="22"/>
        </w:rPr>
        <w:t>confidential secretary, assistant directors, and professional education employees of the state board for community and technical colleges; and</w:t>
      </w:r>
    </w:p>
    <w:p w14:paraId="56054BE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(3) Inmate, student, </w:t>
      </w:r>
      <w:r w:rsidRPr="00064C98">
        <w:rPr>
          <w:rFonts w:ascii="Arial" w:hAnsi="Arial" w:cs="Arial"/>
          <w:strike/>
          <w:sz w:val="22"/>
          <w:szCs w:val="22"/>
        </w:rPr>
        <w:t xml:space="preserve">part-time, </w:t>
      </w:r>
      <w:r w:rsidRPr="00064C98">
        <w:rPr>
          <w:rFonts w:ascii="Arial" w:hAnsi="Arial" w:cs="Arial"/>
          <w:sz w:val="22"/>
          <w:szCs w:val="22"/>
        </w:rPr>
        <w:t xml:space="preserve">or temporary employees, and part-time professional consultants, as defined by the </w:t>
      </w:r>
      <w:r w:rsidRPr="00064C98">
        <w:rPr>
          <w:rFonts w:ascii="Arial" w:hAnsi="Arial" w:cs="Arial"/>
          <w:strike/>
          <w:sz w:val="22"/>
          <w:szCs w:val="22"/>
        </w:rPr>
        <w:t>Washington personnel resources board</w:t>
      </w:r>
      <w:r w:rsidRPr="00064C98">
        <w:rPr>
          <w:rFonts w:ascii="Arial" w:hAnsi="Arial" w:cs="Arial"/>
          <w:sz w:val="22"/>
          <w:szCs w:val="22"/>
        </w:rPr>
        <w:t xml:space="preserve"> </w:t>
      </w:r>
      <w:r w:rsidRPr="00064C98">
        <w:rPr>
          <w:rFonts w:ascii="Arial" w:hAnsi="Arial" w:cs="Arial"/>
          <w:sz w:val="22"/>
          <w:szCs w:val="22"/>
          <w:u w:val="single"/>
        </w:rPr>
        <w:t xml:space="preserve">director </w:t>
      </w:r>
      <w:r w:rsidRPr="00064C98">
        <w:rPr>
          <w:rFonts w:ascii="Arial" w:hAnsi="Arial" w:cs="Arial"/>
          <w:sz w:val="22"/>
          <w:szCs w:val="22"/>
        </w:rPr>
        <w:t xml:space="preserve">in WAC </w:t>
      </w:r>
      <w:hyperlink r:id="rId22" w:history="1">
        <w:r w:rsidRPr="00064C98">
          <w:rPr>
            <w:rStyle w:val="Hyperlink"/>
            <w:rFonts w:ascii="Arial" w:hAnsi="Arial" w:cs="Arial"/>
            <w:color w:val="auto"/>
            <w:sz w:val="22"/>
            <w:szCs w:val="22"/>
          </w:rPr>
          <w:t>357-04-040</w:t>
        </w:r>
      </w:hyperlink>
      <w:r w:rsidRPr="00064C98">
        <w:rPr>
          <w:rFonts w:ascii="Arial" w:hAnsi="Arial" w:cs="Arial"/>
          <w:sz w:val="22"/>
          <w:szCs w:val="22"/>
        </w:rPr>
        <w:t xml:space="preserve">, </w:t>
      </w:r>
      <w:hyperlink r:id="rId23" w:history="1">
        <w:r w:rsidRPr="00064C98">
          <w:rPr>
            <w:rStyle w:val="Hyperlink"/>
            <w:rFonts w:ascii="Arial" w:hAnsi="Arial" w:cs="Arial"/>
            <w:color w:val="auto"/>
            <w:sz w:val="22"/>
            <w:szCs w:val="22"/>
          </w:rPr>
          <w:t>357-04-045</w:t>
        </w:r>
      </w:hyperlink>
      <w:r w:rsidRPr="00064C98">
        <w:rPr>
          <w:rFonts w:ascii="Arial" w:hAnsi="Arial" w:cs="Arial"/>
          <w:sz w:val="22"/>
          <w:szCs w:val="22"/>
        </w:rPr>
        <w:t xml:space="preserve">, </w:t>
      </w:r>
      <w:hyperlink r:id="rId24" w:history="1">
        <w:r w:rsidRPr="00064C98">
          <w:rPr>
            <w:rStyle w:val="Hyperlink"/>
            <w:rFonts w:ascii="Arial" w:hAnsi="Arial" w:cs="Arial"/>
            <w:color w:val="auto"/>
            <w:sz w:val="22"/>
            <w:szCs w:val="22"/>
          </w:rPr>
          <w:t>357-04-050</w:t>
        </w:r>
      </w:hyperlink>
      <w:r w:rsidRPr="00064C98">
        <w:rPr>
          <w:rFonts w:ascii="Arial" w:hAnsi="Arial" w:cs="Arial"/>
          <w:sz w:val="22"/>
          <w:szCs w:val="22"/>
        </w:rPr>
        <w:t xml:space="preserve">, and </w:t>
      </w:r>
      <w:hyperlink r:id="rId25" w:history="1">
        <w:r w:rsidRPr="00064C98">
          <w:rPr>
            <w:rStyle w:val="Hyperlink"/>
            <w:rFonts w:ascii="Arial" w:hAnsi="Arial" w:cs="Arial"/>
            <w:color w:val="auto"/>
            <w:sz w:val="22"/>
            <w:szCs w:val="22"/>
          </w:rPr>
          <w:t>357-04-055</w:t>
        </w:r>
      </w:hyperlink>
      <w:r w:rsidRPr="00064C98">
        <w:rPr>
          <w:rFonts w:ascii="Arial" w:hAnsi="Arial" w:cs="Arial"/>
          <w:sz w:val="22"/>
          <w:szCs w:val="22"/>
        </w:rPr>
        <w:t>.</w:t>
      </w:r>
    </w:p>
    <w:p w14:paraId="243E8F01" w14:textId="77777777" w:rsidR="00064C98" w:rsidRPr="00064C98" w:rsidRDefault="00064C98" w:rsidP="00064C98">
      <w:pPr>
        <w:pStyle w:val="Heading3"/>
        <w:spacing w:before="0"/>
        <w:rPr>
          <w:rFonts w:ascii="Arial" w:hAnsi="Arial" w:cs="Arial"/>
          <w:b w:val="0"/>
          <w:color w:val="auto"/>
          <w:sz w:val="22"/>
          <w:szCs w:val="22"/>
          <w:u w:val="single"/>
        </w:rPr>
      </w:pPr>
    </w:p>
    <w:p w14:paraId="0F00CCEB"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2CC205A6" w14:textId="77777777" w:rsidR="00064C98" w:rsidRPr="00064C98" w:rsidRDefault="00064C98" w:rsidP="00064C98">
      <w:pPr>
        <w:outlineLvl w:val="2"/>
        <w:rPr>
          <w:rFonts w:ascii="Arial" w:hAnsi="Arial" w:cs="Arial"/>
          <w:b/>
          <w:bCs/>
          <w:sz w:val="22"/>
          <w:szCs w:val="22"/>
        </w:rPr>
      </w:pPr>
    </w:p>
    <w:p w14:paraId="2A5F8693" w14:textId="77777777"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 xml:space="preserve">WAC 357-04-035 Who defines exempt status for student, </w:t>
      </w:r>
      <w:r w:rsidRPr="00064C98">
        <w:rPr>
          <w:rFonts w:ascii="Arial" w:hAnsi="Arial" w:cs="Arial"/>
          <w:b/>
          <w:bCs/>
          <w:strike/>
          <w:sz w:val="22"/>
          <w:szCs w:val="22"/>
        </w:rPr>
        <w:t xml:space="preserve">part-time, </w:t>
      </w:r>
      <w:r w:rsidRPr="00064C98">
        <w:rPr>
          <w:rFonts w:ascii="Arial" w:hAnsi="Arial" w:cs="Arial"/>
          <w:b/>
          <w:bCs/>
          <w:sz w:val="22"/>
          <w:szCs w:val="22"/>
        </w:rPr>
        <w:t>or temporary employees and part-time professional consultants for higher education employers?</w:t>
      </w:r>
    </w:p>
    <w:p w14:paraId="42E19920" w14:textId="77777777" w:rsidR="00022B0F" w:rsidRDefault="00022B0F" w:rsidP="00064C98">
      <w:pPr>
        <w:rPr>
          <w:rFonts w:ascii="Arial" w:hAnsi="Arial" w:cs="Arial"/>
          <w:sz w:val="22"/>
          <w:szCs w:val="22"/>
        </w:rPr>
      </w:pPr>
    </w:p>
    <w:p w14:paraId="2DBA8401" w14:textId="2E02F79A" w:rsidR="00064C98" w:rsidRPr="00064C98" w:rsidRDefault="00064C98" w:rsidP="00064C98">
      <w:pPr>
        <w:rPr>
          <w:rFonts w:ascii="Arial" w:hAnsi="Arial" w:cs="Arial"/>
          <w:sz w:val="22"/>
          <w:szCs w:val="22"/>
        </w:rPr>
      </w:pPr>
      <w:r w:rsidRPr="00064C98">
        <w:rPr>
          <w:rFonts w:ascii="Arial" w:hAnsi="Arial" w:cs="Arial"/>
          <w:sz w:val="22"/>
          <w:szCs w:val="22"/>
        </w:rPr>
        <w:t xml:space="preserve">In accordance with RCW </w:t>
      </w:r>
      <w:hyperlink r:id="rId26" w:history="1">
        <w:r w:rsidRPr="00064C98">
          <w:rPr>
            <w:rFonts w:ascii="Arial" w:hAnsi="Arial" w:cs="Arial"/>
            <w:sz w:val="22"/>
            <w:szCs w:val="22"/>
            <w:u w:val="single"/>
          </w:rPr>
          <w:t>41.06.070</w:t>
        </w:r>
      </w:hyperlink>
      <w:r w:rsidRPr="00064C98">
        <w:rPr>
          <w:rFonts w:ascii="Arial" w:hAnsi="Arial" w:cs="Arial"/>
          <w:sz w:val="22"/>
          <w:szCs w:val="22"/>
        </w:rPr>
        <w:t xml:space="preserve">, the </w:t>
      </w:r>
      <w:r w:rsidRPr="00064C98">
        <w:rPr>
          <w:rFonts w:ascii="Arial" w:hAnsi="Arial" w:cs="Arial"/>
          <w:strike/>
          <w:sz w:val="22"/>
          <w:szCs w:val="22"/>
        </w:rPr>
        <w:t xml:space="preserve">board </w:t>
      </w:r>
      <w:r w:rsidRPr="00064C98">
        <w:rPr>
          <w:rFonts w:ascii="Arial" w:hAnsi="Arial" w:cs="Arial"/>
          <w:sz w:val="22"/>
          <w:szCs w:val="22"/>
          <w:u w:val="single"/>
        </w:rPr>
        <w:t>director</w:t>
      </w:r>
      <w:r w:rsidRPr="00064C98">
        <w:rPr>
          <w:rFonts w:ascii="Arial" w:hAnsi="Arial" w:cs="Arial"/>
          <w:sz w:val="22"/>
          <w:szCs w:val="22"/>
        </w:rPr>
        <w:t xml:space="preserve"> defines exemptions for student, </w:t>
      </w:r>
      <w:r w:rsidRPr="00064C98">
        <w:rPr>
          <w:rFonts w:ascii="Arial" w:hAnsi="Arial" w:cs="Arial"/>
          <w:strike/>
          <w:sz w:val="22"/>
          <w:szCs w:val="22"/>
        </w:rPr>
        <w:t xml:space="preserve">part-time </w:t>
      </w:r>
      <w:r w:rsidRPr="00081C90">
        <w:rPr>
          <w:rFonts w:ascii="Arial" w:hAnsi="Arial" w:cs="Arial"/>
          <w:color w:val="FF0000"/>
          <w:sz w:val="22"/>
          <w:szCs w:val="22"/>
        </w:rPr>
        <w:t xml:space="preserve">or </w:t>
      </w:r>
      <w:r w:rsidRPr="00064C98">
        <w:rPr>
          <w:rFonts w:ascii="Arial" w:hAnsi="Arial" w:cs="Arial"/>
          <w:sz w:val="22"/>
          <w:szCs w:val="22"/>
        </w:rPr>
        <w:t xml:space="preserve">temporary employees and part-time professional consultants. Higher education employers must use the definitions in WAC </w:t>
      </w:r>
      <w:hyperlink r:id="rId27" w:history="1">
        <w:r w:rsidRPr="00064C98">
          <w:rPr>
            <w:rFonts w:ascii="Arial" w:hAnsi="Arial" w:cs="Arial"/>
            <w:sz w:val="22"/>
            <w:szCs w:val="22"/>
            <w:u w:val="single"/>
          </w:rPr>
          <w:t>357-04-040</w:t>
        </w:r>
      </w:hyperlink>
      <w:r w:rsidRPr="00064C98">
        <w:rPr>
          <w:rFonts w:ascii="Arial" w:hAnsi="Arial" w:cs="Arial"/>
          <w:sz w:val="22"/>
          <w:szCs w:val="22"/>
        </w:rPr>
        <w:t xml:space="preserve">, </w:t>
      </w:r>
      <w:hyperlink r:id="rId28" w:history="1">
        <w:r w:rsidRPr="00064C98">
          <w:rPr>
            <w:rFonts w:ascii="Arial" w:hAnsi="Arial" w:cs="Arial"/>
            <w:sz w:val="22"/>
            <w:szCs w:val="22"/>
            <w:u w:val="single"/>
          </w:rPr>
          <w:t>357-04-045</w:t>
        </w:r>
      </w:hyperlink>
      <w:r w:rsidRPr="00064C98">
        <w:rPr>
          <w:rFonts w:ascii="Arial" w:hAnsi="Arial" w:cs="Arial"/>
          <w:sz w:val="22"/>
          <w:szCs w:val="22"/>
        </w:rPr>
        <w:t xml:space="preserve">, and </w:t>
      </w:r>
      <w:hyperlink r:id="rId29" w:history="1">
        <w:r w:rsidRPr="00064C98">
          <w:rPr>
            <w:rFonts w:ascii="Arial" w:hAnsi="Arial" w:cs="Arial"/>
            <w:sz w:val="22"/>
            <w:szCs w:val="22"/>
            <w:u w:val="single"/>
          </w:rPr>
          <w:t>357-04-050</w:t>
        </w:r>
      </w:hyperlink>
      <w:r w:rsidRPr="00064C98">
        <w:rPr>
          <w:rFonts w:ascii="Arial" w:hAnsi="Arial" w:cs="Arial"/>
          <w:sz w:val="22"/>
          <w:szCs w:val="22"/>
        </w:rPr>
        <w:t xml:space="preserve"> as the criteria for identifying positions in these categories of employment that are exempt from civil service rules.</w:t>
      </w:r>
    </w:p>
    <w:p w14:paraId="6766E298" w14:textId="77777777" w:rsidR="00064C98" w:rsidRPr="00064C98" w:rsidRDefault="00064C98" w:rsidP="00064C98">
      <w:pPr>
        <w:outlineLvl w:val="2"/>
        <w:rPr>
          <w:rFonts w:ascii="Arial" w:hAnsi="Arial" w:cs="Arial"/>
          <w:b/>
          <w:bCs/>
          <w:sz w:val="22"/>
          <w:szCs w:val="22"/>
        </w:rPr>
      </w:pPr>
    </w:p>
    <w:p w14:paraId="710FBEF4"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041D7966" w14:textId="77777777" w:rsidR="00064C98" w:rsidRPr="00064C98" w:rsidRDefault="00064C98" w:rsidP="00064C98">
      <w:pPr>
        <w:outlineLvl w:val="2"/>
        <w:rPr>
          <w:rFonts w:ascii="Arial" w:hAnsi="Arial" w:cs="Arial"/>
          <w:b/>
          <w:bCs/>
          <w:sz w:val="22"/>
          <w:szCs w:val="22"/>
        </w:rPr>
      </w:pPr>
    </w:p>
    <w:p w14:paraId="79C7011D" w14:textId="77777777"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 xml:space="preserve">WAC 357-04-045 Which </w:t>
      </w:r>
      <w:r w:rsidRPr="00064C98">
        <w:rPr>
          <w:rFonts w:ascii="Arial" w:hAnsi="Arial" w:cs="Arial"/>
          <w:b/>
          <w:bCs/>
          <w:strike/>
          <w:sz w:val="22"/>
          <w:szCs w:val="22"/>
        </w:rPr>
        <w:t>part-time or</w:t>
      </w:r>
      <w:r w:rsidRPr="00064C98">
        <w:rPr>
          <w:rFonts w:ascii="Arial" w:hAnsi="Arial" w:cs="Arial"/>
          <w:b/>
          <w:bCs/>
          <w:sz w:val="22"/>
          <w:szCs w:val="22"/>
        </w:rPr>
        <w:t xml:space="preserve"> temporary employees of higher education employers are exempt from civil service rules?</w:t>
      </w:r>
    </w:p>
    <w:p w14:paraId="7EB004F9" w14:textId="77777777" w:rsidR="00022B0F" w:rsidRDefault="00022B0F" w:rsidP="00022B0F">
      <w:pPr>
        <w:rPr>
          <w:rFonts w:ascii="Arial" w:hAnsi="Arial" w:cs="Arial"/>
          <w:strike/>
          <w:sz w:val="22"/>
          <w:szCs w:val="22"/>
        </w:rPr>
      </w:pPr>
    </w:p>
    <w:p w14:paraId="084EC431" w14:textId="48F9DEAB" w:rsidR="005C365E" w:rsidRPr="005C365E" w:rsidRDefault="005C365E" w:rsidP="005C365E">
      <w:pPr>
        <w:rPr>
          <w:rFonts w:ascii="Arial" w:hAnsi="Arial" w:cs="Arial"/>
          <w:sz w:val="22"/>
          <w:szCs w:val="22"/>
          <w:u w:val="single"/>
        </w:rPr>
      </w:pPr>
      <w:r w:rsidRPr="005C365E">
        <w:rPr>
          <w:rFonts w:ascii="Arial" w:hAnsi="Arial" w:cs="Arial"/>
          <w:strike/>
          <w:sz w:val="22"/>
          <w:szCs w:val="22"/>
        </w:rPr>
        <w:t>Persons employed to work one thousand fifty hours or less in a twelve consecutive month period from the original date of hire or October 1, 1989, whichever is later, are exempt from civil service rules.</w:t>
      </w:r>
      <w:r w:rsidRPr="005C365E">
        <w:rPr>
          <w:rFonts w:ascii="Arial" w:hAnsi="Arial" w:cs="Arial"/>
          <w:sz w:val="22"/>
          <w:szCs w:val="22"/>
          <w:u w:val="single"/>
        </w:rPr>
        <w:t xml:space="preserve"> (1) </w:t>
      </w:r>
      <w:r w:rsidRPr="00081C90">
        <w:rPr>
          <w:rFonts w:ascii="Arial" w:hAnsi="Arial" w:cs="Arial"/>
          <w:strike/>
          <w:color w:val="FF0000"/>
          <w:sz w:val="22"/>
          <w:szCs w:val="22"/>
          <w:u w:val="single"/>
        </w:rPr>
        <w:t xml:space="preserve">The following </w:t>
      </w:r>
      <w:proofErr w:type="spellStart"/>
      <w:r w:rsidRPr="00081C90">
        <w:rPr>
          <w:rFonts w:ascii="Arial" w:hAnsi="Arial" w:cs="Arial"/>
          <w:strike/>
          <w:color w:val="FF0000"/>
          <w:sz w:val="22"/>
          <w:szCs w:val="22"/>
          <w:u w:val="single"/>
        </w:rPr>
        <w:t>t</w:t>
      </w:r>
      <w:bookmarkStart w:id="0" w:name="_GoBack"/>
      <w:r w:rsidR="00081C90" w:rsidRPr="00DD4D8F">
        <w:rPr>
          <w:rFonts w:ascii="Arial" w:hAnsi="Arial" w:cs="Arial"/>
          <w:color w:val="FF0000"/>
          <w:sz w:val="22"/>
          <w:szCs w:val="22"/>
          <w:u w:val="single"/>
        </w:rPr>
        <w:t>T</w:t>
      </w:r>
      <w:bookmarkEnd w:id="0"/>
      <w:r w:rsidRPr="005C365E">
        <w:rPr>
          <w:rFonts w:ascii="Arial" w:hAnsi="Arial" w:cs="Arial"/>
          <w:sz w:val="22"/>
          <w:szCs w:val="22"/>
          <w:u w:val="single"/>
        </w:rPr>
        <w:t>emporary</w:t>
      </w:r>
      <w:proofErr w:type="spellEnd"/>
      <w:r w:rsidRPr="005C365E">
        <w:rPr>
          <w:rFonts w:ascii="Arial" w:hAnsi="Arial" w:cs="Arial"/>
          <w:sz w:val="22"/>
          <w:szCs w:val="22"/>
          <w:u w:val="single"/>
        </w:rPr>
        <w:t xml:space="preserve"> higher education employees are exempt from civil service rules</w:t>
      </w:r>
      <w:r w:rsidR="00081C90">
        <w:rPr>
          <w:rFonts w:ascii="Arial" w:hAnsi="Arial" w:cs="Arial"/>
          <w:sz w:val="22"/>
          <w:szCs w:val="22"/>
          <w:u w:val="single"/>
        </w:rPr>
        <w:t xml:space="preserve"> </w:t>
      </w:r>
      <w:r w:rsidR="00081C90" w:rsidRPr="00081C90">
        <w:rPr>
          <w:rFonts w:ascii="Arial" w:hAnsi="Arial" w:cs="Arial"/>
          <w:color w:val="FF0000"/>
          <w:sz w:val="22"/>
          <w:szCs w:val="22"/>
          <w:u w:val="single"/>
        </w:rPr>
        <w:t>under the following circumstances</w:t>
      </w:r>
      <w:r w:rsidRPr="00081C90">
        <w:rPr>
          <w:rFonts w:ascii="Arial" w:hAnsi="Arial" w:cs="Arial"/>
          <w:color w:val="FF0000"/>
          <w:sz w:val="22"/>
          <w:szCs w:val="22"/>
          <w:u w:val="single"/>
        </w:rPr>
        <w:t>:</w:t>
      </w:r>
      <w:r w:rsidRPr="005C365E">
        <w:rPr>
          <w:rFonts w:ascii="Arial" w:hAnsi="Arial" w:cs="Arial"/>
          <w:sz w:val="22"/>
          <w:szCs w:val="22"/>
          <w:u w:val="single"/>
        </w:rPr>
        <w:t xml:space="preserve"> </w:t>
      </w:r>
    </w:p>
    <w:p w14:paraId="50C9506F" w14:textId="16A4F98C" w:rsidR="005C365E" w:rsidRPr="005C365E" w:rsidRDefault="005C365E" w:rsidP="005C365E">
      <w:pPr>
        <w:numPr>
          <w:ilvl w:val="0"/>
          <w:numId w:val="22"/>
        </w:numPr>
        <w:contextualSpacing/>
        <w:rPr>
          <w:rFonts w:ascii="Arial" w:hAnsi="Arial" w:cs="Arial"/>
          <w:sz w:val="22"/>
          <w:szCs w:val="22"/>
          <w:u w:val="single"/>
        </w:rPr>
      </w:pPr>
      <w:r w:rsidRPr="00081C90">
        <w:rPr>
          <w:rFonts w:ascii="Arial" w:hAnsi="Arial" w:cs="Arial"/>
          <w:strike/>
          <w:color w:val="FF0000"/>
          <w:sz w:val="22"/>
          <w:szCs w:val="22"/>
          <w:u w:val="single"/>
        </w:rPr>
        <w:t xml:space="preserve">An </w:t>
      </w:r>
      <w:r w:rsidR="00081C90" w:rsidRPr="00081C90">
        <w:rPr>
          <w:rFonts w:ascii="Arial" w:hAnsi="Arial" w:cs="Arial"/>
          <w:strike/>
          <w:color w:val="FF0000"/>
          <w:sz w:val="22"/>
          <w:szCs w:val="22"/>
          <w:u w:val="single"/>
        </w:rPr>
        <w:t xml:space="preserve"> </w:t>
      </w:r>
      <w:r w:rsidR="00081C90" w:rsidRPr="00081C90">
        <w:rPr>
          <w:rFonts w:ascii="Arial" w:hAnsi="Arial" w:cs="Arial"/>
          <w:color w:val="FF0000"/>
          <w:sz w:val="22"/>
          <w:szCs w:val="22"/>
          <w:u w:val="single"/>
        </w:rPr>
        <w:t xml:space="preserve">The </w:t>
      </w:r>
      <w:r w:rsidRPr="005C365E">
        <w:rPr>
          <w:rFonts w:ascii="Arial" w:hAnsi="Arial" w:cs="Arial"/>
          <w:sz w:val="22"/>
          <w:szCs w:val="22"/>
          <w:u w:val="single"/>
        </w:rPr>
        <w:t xml:space="preserve">employee </w:t>
      </w:r>
      <w:r>
        <w:rPr>
          <w:rFonts w:ascii="Arial" w:hAnsi="Arial" w:cs="Arial"/>
          <w:sz w:val="22"/>
          <w:szCs w:val="22"/>
          <w:u w:val="single"/>
        </w:rPr>
        <w:t xml:space="preserve">who </w:t>
      </w:r>
      <w:r w:rsidRPr="005C365E">
        <w:rPr>
          <w:rFonts w:ascii="Arial" w:hAnsi="Arial" w:cs="Arial"/>
          <w:sz w:val="22"/>
          <w:szCs w:val="22"/>
          <w:u w:val="single"/>
        </w:rPr>
        <w:t>is employed to work twelve consecutive months or less</w:t>
      </w:r>
      <w:r w:rsidR="00081C90" w:rsidRPr="00081C90">
        <w:rPr>
          <w:rFonts w:ascii="Arial" w:hAnsi="Arial" w:cs="Arial"/>
          <w:color w:val="FF0000"/>
          <w:sz w:val="22"/>
          <w:szCs w:val="22"/>
          <w:u w:val="single"/>
        </w:rPr>
        <w:t>;</w:t>
      </w:r>
      <w:r w:rsidRPr="005C365E">
        <w:rPr>
          <w:rFonts w:ascii="Arial" w:hAnsi="Arial" w:cs="Arial"/>
          <w:color w:val="1F497D"/>
          <w:sz w:val="22"/>
          <w:szCs w:val="22"/>
          <w:u w:val="single"/>
        </w:rPr>
        <w:t xml:space="preserve"> </w:t>
      </w:r>
      <w:r w:rsidRPr="005C365E">
        <w:rPr>
          <w:rFonts w:ascii="Arial" w:hAnsi="Arial" w:cs="Arial"/>
          <w:sz w:val="22"/>
          <w:szCs w:val="22"/>
          <w:u w:val="single"/>
        </w:rPr>
        <w:t>and</w:t>
      </w:r>
    </w:p>
    <w:p w14:paraId="561F9AD9" w14:textId="726F5F3B" w:rsidR="005C365E" w:rsidRPr="005C365E" w:rsidRDefault="00081C90" w:rsidP="005C365E">
      <w:pPr>
        <w:numPr>
          <w:ilvl w:val="0"/>
          <w:numId w:val="22"/>
        </w:numPr>
        <w:contextualSpacing/>
        <w:rPr>
          <w:rFonts w:ascii="Arial" w:hAnsi="Arial" w:cs="Arial"/>
          <w:sz w:val="22"/>
          <w:szCs w:val="22"/>
          <w:u w:val="single"/>
        </w:rPr>
      </w:pPr>
      <w:proofErr w:type="gramStart"/>
      <w:r w:rsidRPr="00081C90">
        <w:rPr>
          <w:rFonts w:ascii="Arial" w:hAnsi="Arial" w:cs="Arial"/>
          <w:strike/>
          <w:color w:val="FF0000"/>
          <w:sz w:val="22"/>
          <w:szCs w:val="22"/>
          <w:u w:val="single"/>
        </w:rPr>
        <w:t xml:space="preserve">An  </w:t>
      </w:r>
      <w:r w:rsidRPr="00081C90">
        <w:rPr>
          <w:rFonts w:ascii="Arial" w:hAnsi="Arial" w:cs="Arial"/>
          <w:color w:val="FF0000"/>
          <w:sz w:val="22"/>
          <w:szCs w:val="22"/>
          <w:u w:val="single"/>
        </w:rPr>
        <w:t>The</w:t>
      </w:r>
      <w:proofErr w:type="gramEnd"/>
      <w:r w:rsidRPr="00081C90">
        <w:rPr>
          <w:rFonts w:ascii="Arial" w:hAnsi="Arial" w:cs="Arial"/>
          <w:color w:val="FF0000"/>
          <w:sz w:val="22"/>
          <w:szCs w:val="22"/>
          <w:u w:val="single"/>
        </w:rPr>
        <w:t xml:space="preserve"> </w:t>
      </w:r>
      <w:r w:rsidR="005C365E" w:rsidRPr="005C365E">
        <w:rPr>
          <w:rFonts w:ascii="Arial" w:hAnsi="Arial" w:cs="Arial"/>
          <w:sz w:val="22"/>
          <w:szCs w:val="22"/>
          <w:u w:val="single"/>
        </w:rPr>
        <w:t xml:space="preserve">employee </w:t>
      </w:r>
      <w:r w:rsidR="005C365E">
        <w:rPr>
          <w:rFonts w:ascii="Arial" w:hAnsi="Arial" w:cs="Arial"/>
          <w:sz w:val="22"/>
          <w:szCs w:val="22"/>
          <w:u w:val="single"/>
        </w:rPr>
        <w:t xml:space="preserve">who </w:t>
      </w:r>
      <w:r w:rsidR="005C365E" w:rsidRPr="005C365E">
        <w:rPr>
          <w:rFonts w:ascii="Arial" w:hAnsi="Arial" w:cs="Arial"/>
          <w:sz w:val="22"/>
          <w:szCs w:val="22"/>
          <w:u w:val="single"/>
        </w:rPr>
        <w:t xml:space="preserve">is employed </w:t>
      </w:r>
      <w:r w:rsidR="005C365E">
        <w:rPr>
          <w:rFonts w:ascii="Arial" w:hAnsi="Arial" w:cs="Arial"/>
          <w:sz w:val="22"/>
          <w:szCs w:val="22"/>
          <w:u w:val="single"/>
        </w:rPr>
        <w:t xml:space="preserve">to work </w:t>
      </w:r>
      <w:r w:rsidR="005C365E" w:rsidRPr="005C365E">
        <w:rPr>
          <w:rFonts w:ascii="Arial" w:hAnsi="Arial" w:cs="Arial"/>
          <w:sz w:val="22"/>
          <w:szCs w:val="22"/>
          <w:u w:val="single"/>
        </w:rPr>
        <w:t xml:space="preserve">for one thousand fifty hours or less in </w:t>
      </w:r>
      <w:r w:rsidR="004618A4" w:rsidRPr="00081C90">
        <w:rPr>
          <w:rFonts w:ascii="Arial" w:hAnsi="Arial" w:cs="Arial"/>
          <w:strike/>
          <w:color w:val="FF0000"/>
          <w:sz w:val="22"/>
          <w:szCs w:val="22"/>
          <w:u w:val="single"/>
        </w:rPr>
        <w:t>the</w:t>
      </w:r>
      <w:r w:rsidR="004618A4">
        <w:rPr>
          <w:rFonts w:ascii="Arial" w:hAnsi="Arial" w:cs="Arial"/>
          <w:sz w:val="22"/>
          <w:szCs w:val="22"/>
          <w:u w:val="single"/>
        </w:rPr>
        <w:t xml:space="preserve"> </w:t>
      </w:r>
      <w:r w:rsidRPr="00081C90">
        <w:rPr>
          <w:rFonts w:ascii="Arial" w:hAnsi="Arial" w:cs="Arial"/>
          <w:color w:val="FF0000"/>
          <w:sz w:val="22"/>
          <w:szCs w:val="22"/>
          <w:u w:val="single"/>
        </w:rPr>
        <w:t xml:space="preserve">that </w:t>
      </w:r>
      <w:r w:rsidR="005C365E" w:rsidRPr="005C365E">
        <w:rPr>
          <w:rFonts w:ascii="Arial" w:hAnsi="Arial" w:cs="Arial"/>
          <w:sz w:val="22"/>
          <w:szCs w:val="22"/>
          <w:u w:val="single"/>
        </w:rPr>
        <w:t xml:space="preserve">twelve consecutive month period </w:t>
      </w:r>
      <w:r w:rsidR="005C365E" w:rsidRPr="00081C90">
        <w:rPr>
          <w:rFonts w:ascii="Arial" w:hAnsi="Arial" w:cs="Arial"/>
          <w:strike/>
          <w:color w:val="FF0000"/>
          <w:sz w:val="22"/>
          <w:szCs w:val="22"/>
          <w:u w:val="single"/>
        </w:rPr>
        <w:t>beginning</w:t>
      </w:r>
      <w:r w:rsidR="005C365E" w:rsidRPr="005C365E">
        <w:rPr>
          <w:rFonts w:ascii="Arial" w:hAnsi="Arial" w:cs="Arial"/>
          <w:sz w:val="22"/>
          <w:szCs w:val="22"/>
          <w:u w:val="single"/>
        </w:rPr>
        <w:t xml:space="preserve"> </w:t>
      </w:r>
      <w:r w:rsidRPr="00081C90">
        <w:rPr>
          <w:rFonts w:ascii="Arial" w:hAnsi="Arial" w:cs="Arial"/>
          <w:color w:val="FF0000"/>
          <w:sz w:val="22"/>
          <w:szCs w:val="22"/>
          <w:u w:val="single"/>
        </w:rPr>
        <w:t xml:space="preserve">which begins </w:t>
      </w:r>
      <w:r w:rsidR="005C365E" w:rsidRPr="005C365E">
        <w:rPr>
          <w:rFonts w:ascii="Arial" w:hAnsi="Arial" w:cs="Arial"/>
          <w:sz w:val="22"/>
          <w:szCs w:val="22"/>
          <w:u w:val="single"/>
        </w:rPr>
        <w:t>from the original date of hire or July 1, 2020, whichever is later</w:t>
      </w:r>
      <w:r w:rsidR="004618A4">
        <w:rPr>
          <w:rFonts w:ascii="Arial" w:hAnsi="Arial" w:cs="Arial"/>
          <w:sz w:val="22"/>
          <w:szCs w:val="22"/>
          <w:u w:val="single"/>
        </w:rPr>
        <w:t>.</w:t>
      </w:r>
    </w:p>
    <w:p w14:paraId="15845F96" w14:textId="63080BEE" w:rsidR="005C365E" w:rsidRPr="005C365E" w:rsidRDefault="005C365E" w:rsidP="005C365E">
      <w:pPr>
        <w:rPr>
          <w:rFonts w:ascii="Arial" w:hAnsi="Arial" w:cs="Arial"/>
          <w:sz w:val="22"/>
          <w:szCs w:val="22"/>
          <w:u w:val="single"/>
        </w:rPr>
      </w:pPr>
      <w:r>
        <w:rPr>
          <w:rFonts w:ascii="Arial" w:hAnsi="Arial" w:cs="Arial"/>
          <w:sz w:val="22"/>
          <w:szCs w:val="22"/>
          <w:u w:val="single"/>
        </w:rPr>
        <w:lastRenderedPageBreak/>
        <w:t xml:space="preserve">(2) </w:t>
      </w:r>
      <w:r w:rsidRPr="005C365E">
        <w:rPr>
          <w:rFonts w:ascii="Arial" w:hAnsi="Arial" w:cs="Arial"/>
          <w:sz w:val="22"/>
          <w:szCs w:val="22"/>
          <w:u w:val="single"/>
        </w:rPr>
        <w:t xml:space="preserve">Temporary employees are limited to one appointment for one thousand fifty hours or less in a twelve month consecutive month period with the same higher education employer. </w:t>
      </w:r>
    </w:p>
    <w:p w14:paraId="4907A210" w14:textId="4310D22C" w:rsidR="00064C98" w:rsidRPr="005C365E" w:rsidRDefault="00064C98" w:rsidP="00064C98">
      <w:pPr>
        <w:rPr>
          <w:rFonts w:ascii="Arial" w:hAnsi="Arial" w:cs="Arial"/>
          <w:sz w:val="22"/>
          <w:szCs w:val="22"/>
          <w:u w:val="single"/>
        </w:rPr>
      </w:pPr>
      <w:r w:rsidRPr="005C365E">
        <w:rPr>
          <w:rFonts w:ascii="Arial" w:hAnsi="Arial" w:cs="Arial"/>
          <w:sz w:val="22"/>
          <w:szCs w:val="22"/>
          <w:u w:val="single"/>
        </w:rPr>
        <w:t>(</w:t>
      </w:r>
      <w:r w:rsidR="005C365E">
        <w:rPr>
          <w:rFonts w:ascii="Arial" w:hAnsi="Arial" w:cs="Arial"/>
          <w:sz w:val="22"/>
          <w:szCs w:val="22"/>
          <w:u w:val="single"/>
        </w:rPr>
        <w:t>3</w:t>
      </w:r>
      <w:r w:rsidRPr="005C365E">
        <w:rPr>
          <w:rFonts w:ascii="Arial" w:hAnsi="Arial" w:cs="Arial"/>
          <w:sz w:val="22"/>
          <w:szCs w:val="22"/>
          <w:u w:val="single"/>
        </w:rPr>
        <w:t>) Temporary appointments under the provisions of this section may be subject to remedial action in accordance with WAC 357-19-450.</w:t>
      </w:r>
    </w:p>
    <w:p w14:paraId="44E11D2C" w14:textId="7E0AF795" w:rsidR="00064C98" w:rsidRPr="00064C98" w:rsidRDefault="00064C98" w:rsidP="005C365E">
      <w:pPr>
        <w:rPr>
          <w:rFonts w:ascii="Arial" w:hAnsi="Arial" w:cs="Arial"/>
          <w:strike/>
          <w:sz w:val="22"/>
          <w:szCs w:val="22"/>
        </w:rPr>
      </w:pPr>
      <w:r w:rsidRPr="005C365E">
        <w:rPr>
          <w:rFonts w:ascii="Arial" w:hAnsi="Arial" w:cs="Arial"/>
          <w:sz w:val="22"/>
          <w:szCs w:val="22"/>
          <w:u w:val="single"/>
        </w:rPr>
        <w:t>(</w:t>
      </w:r>
      <w:r w:rsidR="005C365E">
        <w:rPr>
          <w:rFonts w:ascii="Arial" w:hAnsi="Arial" w:cs="Arial"/>
          <w:sz w:val="22"/>
          <w:szCs w:val="22"/>
          <w:u w:val="single"/>
        </w:rPr>
        <w:t>4</w:t>
      </w:r>
      <w:r w:rsidRPr="005C365E">
        <w:rPr>
          <w:rFonts w:ascii="Arial" w:hAnsi="Arial" w:cs="Arial"/>
          <w:sz w:val="22"/>
          <w:szCs w:val="22"/>
          <w:u w:val="single"/>
        </w:rPr>
        <w:t xml:space="preserve">) Temporary </w:t>
      </w:r>
      <w:proofErr w:type="spellStart"/>
      <w:r w:rsidRPr="005C365E">
        <w:rPr>
          <w:rFonts w:ascii="Arial" w:hAnsi="Arial" w:cs="Arial"/>
          <w:sz w:val="22"/>
          <w:szCs w:val="22"/>
          <w:u w:val="single"/>
        </w:rPr>
        <w:t>e</w:t>
      </w:r>
      <w:r w:rsidRPr="005C365E">
        <w:rPr>
          <w:rFonts w:ascii="Arial" w:hAnsi="Arial" w:cs="Arial"/>
          <w:strike/>
          <w:sz w:val="22"/>
          <w:szCs w:val="22"/>
        </w:rPr>
        <w:t>E</w:t>
      </w:r>
      <w:r w:rsidRPr="005C365E">
        <w:rPr>
          <w:rFonts w:ascii="Arial" w:hAnsi="Arial" w:cs="Arial"/>
          <w:sz w:val="22"/>
          <w:szCs w:val="22"/>
        </w:rPr>
        <w:t>mployees</w:t>
      </w:r>
      <w:proofErr w:type="spellEnd"/>
      <w:r w:rsidRPr="005C365E">
        <w:rPr>
          <w:rFonts w:ascii="Arial" w:hAnsi="Arial" w:cs="Arial"/>
          <w:sz w:val="22"/>
          <w:szCs w:val="22"/>
        </w:rPr>
        <w:t xml:space="preserve"> who</w:t>
      </w:r>
      <w:r w:rsidRPr="00064C98">
        <w:rPr>
          <w:rFonts w:ascii="Arial" w:hAnsi="Arial" w:cs="Arial"/>
          <w:sz w:val="22"/>
          <w:szCs w:val="22"/>
        </w:rPr>
        <w:t xml:space="preserve"> are </w:t>
      </w:r>
      <w:r w:rsidRPr="00064C98">
        <w:rPr>
          <w:rFonts w:ascii="Arial" w:hAnsi="Arial" w:cs="Arial"/>
          <w:strike/>
          <w:sz w:val="22"/>
          <w:szCs w:val="22"/>
        </w:rPr>
        <w:t xml:space="preserve">either </w:t>
      </w:r>
      <w:r w:rsidRPr="00064C98">
        <w:rPr>
          <w:rFonts w:ascii="Arial" w:hAnsi="Arial" w:cs="Arial"/>
          <w:sz w:val="22"/>
          <w:szCs w:val="22"/>
        </w:rPr>
        <w:t xml:space="preserve">exempt under </w:t>
      </w:r>
      <w:r w:rsidRPr="00064C98">
        <w:rPr>
          <w:rFonts w:ascii="Arial" w:hAnsi="Arial" w:cs="Arial"/>
          <w:strike/>
          <w:sz w:val="22"/>
          <w:szCs w:val="22"/>
        </w:rPr>
        <w:t>this</w:t>
      </w:r>
      <w:r w:rsidRPr="00064C98">
        <w:rPr>
          <w:rFonts w:ascii="Arial" w:hAnsi="Arial" w:cs="Arial"/>
          <w:sz w:val="22"/>
          <w:szCs w:val="22"/>
        </w:rPr>
        <w:t xml:space="preserve"> subsection </w:t>
      </w:r>
      <w:r w:rsidRPr="00064C98">
        <w:rPr>
          <w:rFonts w:ascii="Arial" w:hAnsi="Arial" w:cs="Arial"/>
          <w:sz w:val="22"/>
          <w:szCs w:val="22"/>
          <w:u w:val="single"/>
        </w:rPr>
        <w:t>(1) of this section</w:t>
      </w:r>
      <w:r w:rsidRPr="00064C98">
        <w:rPr>
          <w:rFonts w:ascii="Arial" w:hAnsi="Arial" w:cs="Arial"/>
          <w:sz w:val="22"/>
          <w:szCs w:val="22"/>
        </w:rPr>
        <w:t xml:space="preserve"> </w:t>
      </w:r>
      <w:r w:rsidRPr="00064C98">
        <w:rPr>
          <w:rFonts w:ascii="Arial" w:hAnsi="Arial" w:cs="Arial"/>
          <w:strike/>
          <w:sz w:val="22"/>
          <w:szCs w:val="22"/>
        </w:rPr>
        <w:t xml:space="preserve">or exceptions authorized under WAC </w:t>
      </w:r>
      <w:hyperlink r:id="rId30" w:history="1">
        <w:r w:rsidRPr="00064C98">
          <w:rPr>
            <w:rFonts w:ascii="Arial" w:hAnsi="Arial" w:cs="Arial"/>
            <w:strike/>
            <w:sz w:val="22"/>
            <w:szCs w:val="22"/>
          </w:rPr>
          <w:t>357-19-440</w:t>
        </w:r>
      </w:hyperlink>
      <w:r w:rsidRPr="00064C98">
        <w:rPr>
          <w:rFonts w:ascii="Arial" w:hAnsi="Arial" w:cs="Arial"/>
          <w:strike/>
          <w:sz w:val="22"/>
          <w:szCs w:val="22"/>
        </w:rPr>
        <w:t>,</w:t>
      </w:r>
      <w:r w:rsidRPr="00064C98">
        <w:rPr>
          <w:rFonts w:ascii="Arial" w:hAnsi="Arial" w:cs="Arial"/>
          <w:sz w:val="22"/>
          <w:szCs w:val="22"/>
        </w:rPr>
        <w:t xml:space="preserve"> and who work more than three hundred fifty hours in a twelve consecutive month period from the original date of hire or January 1, 2004, whichever is later, may be included in an appropriate bargaining unit for purposes of collective bargaining, as determined by the public employment relations commission. Overtime and time worked as a student employee under the provisions of WAC </w:t>
      </w:r>
      <w:hyperlink r:id="rId31" w:history="1">
        <w:r w:rsidRPr="00064C98">
          <w:rPr>
            <w:rFonts w:ascii="Arial" w:hAnsi="Arial" w:cs="Arial"/>
            <w:sz w:val="22"/>
            <w:szCs w:val="22"/>
            <w:u w:val="single"/>
          </w:rPr>
          <w:t>357-04-040</w:t>
        </w:r>
      </w:hyperlink>
      <w:r w:rsidRPr="00064C98">
        <w:rPr>
          <w:rFonts w:ascii="Arial" w:hAnsi="Arial" w:cs="Arial"/>
          <w:sz w:val="22"/>
          <w:szCs w:val="22"/>
        </w:rPr>
        <w:t xml:space="preserve"> are not counted in the three hundred fifty hours. For purposes of counting the three hundred fifty hours, the twelve-month period will begin on the employee's original date of hire or January 1, 2004, whichever is later. </w:t>
      </w:r>
      <w:r w:rsidRPr="00064C98">
        <w:rPr>
          <w:rFonts w:ascii="Arial" w:hAnsi="Arial" w:cs="Arial"/>
          <w:strike/>
          <w:sz w:val="22"/>
          <w:szCs w:val="22"/>
        </w:rPr>
        <w:t>The next twelve-month period will repeat accordingly. For example:</w:t>
      </w:r>
    </w:p>
    <w:p w14:paraId="0B290744" w14:textId="77777777" w:rsidR="00064C98" w:rsidRPr="00064C98" w:rsidRDefault="00064C98" w:rsidP="00064C98">
      <w:pPr>
        <w:ind w:firstLine="720"/>
        <w:rPr>
          <w:rFonts w:ascii="Arial" w:hAnsi="Arial" w:cs="Arial"/>
          <w:strike/>
          <w:sz w:val="22"/>
          <w:szCs w:val="22"/>
        </w:rPr>
      </w:pPr>
      <w:r w:rsidRPr="00064C98">
        <w:rPr>
          <w:rFonts w:ascii="Arial" w:hAnsi="Arial" w:cs="Arial"/>
          <w:strike/>
          <w:sz w:val="22"/>
          <w:szCs w:val="22"/>
        </w:rPr>
        <w:t>The employee's original date of hire is June 1, 2009. The twelve-month period would be June 1, 2009, through May 31, 2010. The next twelve-month period would be June 1, 2010, through May 31, 2011. This pattern will continue.</w:t>
      </w:r>
    </w:p>
    <w:p w14:paraId="40086CDB" w14:textId="77777777" w:rsidR="00064C98" w:rsidRPr="00064C98" w:rsidRDefault="00064C98" w:rsidP="00064C98">
      <w:pPr>
        <w:ind w:firstLine="720"/>
        <w:rPr>
          <w:rFonts w:ascii="Arial" w:hAnsi="Arial" w:cs="Arial"/>
          <w:strike/>
          <w:sz w:val="22"/>
          <w:szCs w:val="22"/>
        </w:rPr>
      </w:pPr>
      <w:r w:rsidRPr="00064C98">
        <w:rPr>
          <w:rFonts w:ascii="Arial" w:hAnsi="Arial" w:cs="Arial"/>
          <w:strike/>
          <w:sz w:val="22"/>
          <w:szCs w:val="22"/>
        </w:rPr>
        <w:t>Once the employee works at least three hundred fifty hours in a job classification in the collective bargaining unit the employee remains in that collective bargaining unit until the end of the first twelve-month period (as described in this section) in which the employee does not work at least three hundred fifty hours in a job classification that is in the collective bargaining unit. An employee who has not worked sufficient hours in a bargaining unit job classification to remain in the bargaining unit, is excluded from the bargaining unit until the employee again works at least three hundred fifty hours in a bargaining unit job classification in a twelve-month period (as described in this section).</w:t>
      </w:r>
    </w:p>
    <w:p w14:paraId="1E44ED65" w14:textId="77777777" w:rsidR="00064C98" w:rsidRPr="00064C98" w:rsidRDefault="00064C98" w:rsidP="00064C98">
      <w:pPr>
        <w:ind w:firstLine="720"/>
        <w:rPr>
          <w:rFonts w:ascii="Arial" w:hAnsi="Arial" w:cs="Arial"/>
          <w:strike/>
          <w:sz w:val="22"/>
          <w:szCs w:val="22"/>
        </w:rPr>
      </w:pPr>
      <w:r w:rsidRPr="00064C98">
        <w:rPr>
          <w:rFonts w:ascii="Arial" w:hAnsi="Arial" w:cs="Arial"/>
          <w:strike/>
          <w:sz w:val="22"/>
          <w:szCs w:val="22"/>
        </w:rPr>
        <w:t xml:space="preserve">Temporary appointment under the provisions of this section may be subject to remedial action in accordance with WAC </w:t>
      </w:r>
      <w:hyperlink r:id="rId32" w:history="1">
        <w:r w:rsidRPr="00064C98">
          <w:rPr>
            <w:rFonts w:ascii="Arial" w:hAnsi="Arial" w:cs="Arial"/>
            <w:strike/>
            <w:sz w:val="22"/>
            <w:szCs w:val="22"/>
          </w:rPr>
          <w:t>357-19-450</w:t>
        </w:r>
      </w:hyperlink>
      <w:r w:rsidRPr="00064C98">
        <w:rPr>
          <w:rFonts w:ascii="Arial" w:hAnsi="Arial" w:cs="Arial"/>
          <w:strike/>
          <w:sz w:val="22"/>
          <w:szCs w:val="22"/>
        </w:rPr>
        <w:t xml:space="preserve">, if the number of hours worked exceeds one thousand fifty hours in a twelve consecutive month period from the original date of hire or October 1, 1989, whichever is later. Overtime and time worked as a student employee under the provisions of WAC </w:t>
      </w:r>
      <w:hyperlink r:id="rId33" w:history="1">
        <w:r w:rsidRPr="00064C98">
          <w:rPr>
            <w:rFonts w:ascii="Arial" w:hAnsi="Arial" w:cs="Arial"/>
            <w:strike/>
            <w:sz w:val="22"/>
            <w:szCs w:val="22"/>
          </w:rPr>
          <w:t>357-04-040</w:t>
        </w:r>
      </w:hyperlink>
      <w:r w:rsidRPr="00064C98">
        <w:rPr>
          <w:rFonts w:ascii="Arial" w:hAnsi="Arial" w:cs="Arial"/>
          <w:strike/>
          <w:sz w:val="22"/>
          <w:szCs w:val="22"/>
        </w:rPr>
        <w:t xml:space="preserve"> are not counted in the one thousand fifty hours. For purposes of counting the one thousand fifty hours, the twelve-month period will begin on the employee's original date of hire or October 1, 1989, whichever is later. The next twelve-month period will repeat accordingly. For example:</w:t>
      </w:r>
    </w:p>
    <w:p w14:paraId="5553FB61" w14:textId="77777777" w:rsidR="00064C98" w:rsidRPr="00064C98" w:rsidRDefault="00064C98" w:rsidP="00064C98">
      <w:pPr>
        <w:ind w:firstLine="720"/>
        <w:rPr>
          <w:rFonts w:ascii="Arial" w:hAnsi="Arial" w:cs="Arial"/>
          <w:strike/>
          <w:sz w:val="22"/>
          <w:szCs w:val="22"/>
        </w:rPr>
      </w:pPr>
      <w:r w:rsidRPr="00064C98">
        <w:rPr>
          <w:rFonts w:ascii="Arial" w:hAnsi="Arial" w:cs="Arial"/>
          <w:strike/>
          <w:sz w:val="22"/>
          <w:szCs w:val="22"/>
        </w:rPr>
        <w:t>The employee's original date of hire is June 1, 2009. The twelve-month period would be June 1, 2009, through May 31, 2010. The next twelve-month period would be June 1, 2010, through May 31, 2011. This pattern will continue.</w:t>
      </w:r>
    </w:p>
    <w:p w14:paraId="50F4DC8C" w14:textId="77777777" w:rsidR="00064C98" w:rsidRDefault="00064C98" w:rsidP="00064C98">
      <w:pPr>
        <w:pStyle w:val="Heading3"/>
        <w:spacing w:before="0"/>
        <w:rPr>
          <w:rFonts w:ascii="Arial" w:hAnsi="Arial" w:cs="Arial"/>
          <w:b w:val="0"/>
          <w:color w:val="auto"/>
          <w:sz w:val="22"/>
          <w:szCs w:val="22"/>
          <w:u w:val="single"/>
        </w:rPr>
      </w:pPr>
    </w:p>
    <w:p w14:paraId="4B3880D0" w14:textId="6D076D31"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51B2907D" w14:textId="77777777" w:rsidR="00064C98" w:rsidRPr="00064C98" w:rsidRDefault="00064C98" w:rsidP="00064C98">
      <w:pPr>
        <w:pStyle w:val="Heading3"/>
        <w:spacing w:before="0"/>
        <w:rPr>
          <w:rFonts w:ascii="Arial" w:hAnsi="Arial" w:cs="Arial"/>
          <w:color w:val="auto"/>
          <w:sz w:val="22"/>
          <w:szCs w:val="22"/>
        </w:rPr>
      </w:pPr>
    </w:p>
    <w:p w14:paraId="4A5DFEF3" w14:textId="77777777" w:rsidR="00064C98" w:rsidRPr="00064C98" w:rsidRDefault="00064C98" w:rsidP="00064C98">
      <w:pPr>
        <w:pStyle w:val="Heading3"/>
        <w:spacing w:before="0"/>
        <w:rPr>
          <w:rFonts w:ascii="Arial" w:hAnsi="Arial" w:cs="Arial"/>
          <w:color w:val="auto"/>
          <w:sz w:val="22"/>
          <w:szCs w:val="22"/>
        </w:rPr>
      </w:pPr>
      <w:r w:rsidRPr="00064C98">
        <w:rPr>
          <w:rFonts w:ascii="Arial" w:hAnsi="Arial" w:cs="Arial"/>
          <w:color w:val="auto"/>
          <w:sz w:val="22"/>
          <w:szCs w:val="22"/>
        </w:rPr>
        <w:t xml:space="preserve">WAC 357-04-055 Who defines exempt status for student, </w:t>
      </w:r>
      <w:r w:rsidRPr="00064C98">
        <w:rPr>
          <w:rFonts w:ascii="Arial" w:hAnsi="Arial" w:cs="Arial"/>
          <w:strike/>
          <w:color w:val="auto"/>
          <w:sz w:val="22"/>
          <w:szCs w:val="22"/>
        </w:rPr>
        <w:t xml:space="preserve">part-time, </w:t>
      </w:r>
      <w:r w:rsidRPr="00064C98">
        <w:rPr>
          <w:rFonts w:ascii="Arial" w:hAnsi="Arial" w:cs="Arial"/>
          <w:color w:val="auto"/>
          <w:sz w:val="22"/>
          <w:szCs w:val="22"/>
        </w:rPr>
        <w:t>or temporary employees; part-time professional consultants; and inmates for general government employers and what types of positions are exempt?</w:t>
      </w:r>
    </w:p>
    <w:p w14:paraId="7AC7B048" w14:textId="77777777" w:rsidR="00022B0F" w:rsidRDefault="00022B0F" w:rsidP="00022B0F">
      <w:pPr>
        <w:rPr>
          <w:rFonts w:ascii="Arial" w:hAnsi="Arial" w:cs="Arial"/>
          <w:sz w:val="22"/>
          <w:szCs w:val="22"/>
        </w:rPr>
      </w:pPr>
    </w:p>
    <w:p w14:paraId="130A8D91" w14:textId="0A946A89" w:rsidR="00064C98" w:rsidRPr="00064C98" w:rsidRDefault="00064C98" w:rsidP="00022B0F">
      <w:pPr>
        <w:rPr>
          <w:rFonts w:ascii="Arial" w:hAnsi="Arial" w:cs="Arial"/>
          <w:sz w:val="22"/>
          <w:szCs w:val="22"/>
        </w:rPr>
      </w:pPr>
      <w:r w:rsidRPr="00064C98">
        <w:rPr>
          <w:rFonts w:ascii="Arial" w:hAnsi="Arial" w:cs="Arial"/>
          <w:sz w:val="22"/>
          <w:szCs w:val="22"/>
        </w:rPr>
        <w:t xml:space="preserve">In accordance with RCW </w:t>
      </w:r>
      <w:hyperlink r:id="rId34" w:history="1">
        <w:r w:rsidRPr="00064C98">
          <w:rPr>
            <w:rStyle w:val="Hyperlink"/>
            <w:rFonts w:ascii="Arial" w:hAnsi="Arial" w:cs="Arial"/>
            <w:color w:val="auto"/>
            <w:sz w:val="22"/>
            <w:szCs w:val="22"/>
          </w:rPr>
          <w:t>41.06.070</w:t>
        </w:r>
      </w:hyperlink>
      <w:r w:rsidRPr="00064C98">
        <w:rPr>
          <w:rFonts w:ascii="Arial" w:hAnsi="Arial" w:cs="Arial"/>
          <w:sz w:val="22"/>
          <w:szCs w:val="22"/>
        </w:rPr>
        <w:t xml:space="preserve">, the </w:t>
      </w:r>
      <w:r w:rsidRPr="00064C98">
        <w:rPr>
          <w:rFonts w:ascii="Arial" w:hAnsi="Arial" w:cs="Arial"/>
          <w:strike/>
          <w:sz w:val="22"/>
          <w:szCs w:val="22"/>
        </w:rPr>
        <w:t xml:space="preserve">board </w:t>
      </w:r>
      <w:r w:rsidRPr="00064C98">
        <w:rPr>
          <w:rFonts w:ascii="Arial" w:hAnsi="Arial" w:cs="Arial"/>
          <w:sz w:val="22"/>
          <w:szCs w:val="22"/>
          <w:u w:val="single"/>
        </w:rPr>
        <w:t>director</w:t>
      </w:r>
      <w:r w:rsidRPr="00064C98">
        <w:rPr>
          <w:rFonts w:ascii="Arial" w:hAnsi="Arial" w:cs="Arial"/>
          <w:sz w:val="22"/>
          <w:szCs w:val="22"/>
        </w:rPr>
        <w:t xml:space="preserve"> defines exemptions for student, </w:t>
      </w:r>
      <w:r w:rsidRPr="00064C98">
        <w:rPr>
          <w:rFonts w:ascii="Arial" w:hAnsi="Arial" w:cs="Arial"/>
          <w:strike/>
          <w:sz w:val="22"/>
          <w:szCs w:val="22"/>
        </w:rPr>
        <w:t>part-time</w:t>
      </w:r>
      <w:r w:rsidRPr="00064C98">
        <w:rPr>
          <w:rFonts w:ascii="Arial" w:hAnsi="Arial" w:cs="Arial"/>
          <w:sz w:val="22"/>
          <w:szCs w:val="22"/>
        </w:rPr>
        <w:t xml:space="preserve"> or temporary employees; part-time professional consultants</w:t>
      </w:r>
      <w:r w:rsidRPr="00064C98">
        <w:rPr>
          <w:rFonts w:ascii="Arial" w:hAnsi="Arial" w:cs="Arial"/>
          <w:strike/>
          <w:sz w:val="22"/>
          <w:szCs w:val="22"/>
        </w:rPr>
        <w:t>;</w:t>
      </w:r>
      <w:r w:rsidRPr="00064C98">
        <w:rPr>
          <w:rFonts w:ascii="Arial" w:hAnsi="Arial" w:cs="Arial"/>
          <w:sz w:val="22"/>
          <w:szCs w:val="22"/>
        </w:rPr>
        <w:t xml:space="preserve"> and inmates. The following types of general government employees are exempt from civil service rules:</w:t>
      </w:r>
    </w:p>
    <w:p w14:paraId="16E5ACA0"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(1) Part-time local health officers;</w:t>
      </w:r>
    </w:p>
    <w:p w14:paraId="041C2B67" w14:textId="77777777" w:rsidR="00064C98" w:rsidRPr="00064C98" w:rsidRDefault="00064C98" w:rsidP="00064C98">
      <w:pPr>
        <w:ind w:firstLine="720"/>
        <w:rPr>
          <w:rFonts w:ascii="Arial" w:hAnsi="Arial" w:cs="Arial"/>
          <w:strike/>
          <w:sz w:val="22"/>
          <w:szCs w:val="22"/>
        </w:rPr>
      </w:pPr>
      <w:r w:rsidRPr="00064C98">
        <w:rPr>
          <w:rFonts w:ascii="Arial" w:hAnsi="Arial" w:cs="Arial"/>
          <w:strike/>
          <w:sz w:val="22"/>
          <w:szCs w:val="22"/>
        </w:rPr>
        <w:t>(2) Persons employed on a part-time, or temporary basis for medical, nursing or other professional service and who are not engaged in the performance of administrative duties;</w:t>
      </w:r>
    </w:p>
    <w:p w14:paraId="47B9C783"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w:t>
      </w:r>
      <w:r w:rsidRPr="00064C98">
        <w:rPr>
          <w:rFonts w:ascii="Arial" w:hAnsi="Arial" w:cs="Arial"/>
          <w:strike/>
          <w:sz w:val="22"/>
          <w:szCs w:val="22"/>
        </w:rPr>
        <w:t>3</w:t>
      </w:r>
      <w:r w:rsidRPr="00064C98">
        <w:rPr>
          <w:rFonts w:ascii="Arial" w:hAnsi="Arial" w:cs="Arial"/>
          <w:sz w:val="22"/>
          <w:szCs w:val="22"/>
          <w:u w:val="single"/>
        </w:rPr>
        <w:t>2</w:t>
      </w:r>
      <w:r w:rsidRPr="00064C98">
        <w:rPr>
          <w:rFonts w:ascii="Arial" w:hAnsi="Arial" w:cs="Arial"/>
          <w:sz w:val="22"/>
          <w:szCs w:val="22"/>
        </w:rPr>
        <w:t xml:space="preserve">) </w:t>
      </w:r>
      <w:r w:rsidRPr="00064C98">
        <w:rPr>
          <w:rFonts w:ascii="Arial" w:hAnsi="Arial" w:cs="Arial"/>
          <w:strike/>
          <w:sz w:val="22"/>
          <w:szCs w:val="22"/>
        </w:rPr>
        <w:t xml:space="preserve">Part-time or </w:t>
      </w:r>
      <w:proofErr w:type="spellStart"/>
      <w:r w:rsidRPr="00064C98">
        <w:rPr>
          <w:rFonts w:ascii="Arial" w:hAnsi="Arial" w:cs="Arial"/>
          <w:strike/>
          <w:sz w:val="22"/>
          <w:szCs w:val="22"/>
          <w:u w:val="single"/>
        </w:rPr>
        <w:t>t</w:t>
      </w:r>
      <w:r w:rsidRPr="00064C98">
        <w:rPr>
          <w:rFonts w:ascii="Arial" w:hAnsi="Arial" w:cs="Arial"/>
          <w:sz w:val="22"/>
          <w:szCs w:val="22"/>
          <w:u w:val="single"/>
        </w:rPr>
        <w:t>T</w:t>
      </w:r>
      <w:r w:rsidRPr="00064C98">
        <w:rPr>
          <w:rFonts w:ascii="Arial" w:hAnsi="Arial" w:cs="Arial"/>
          <w:sz w:val="22"/>
          <w:szCs w:val="22"/>
        </w:rPr>
        <w:t>emporary</w:t>
      </w:r>
      <w:proofErr w:type="spellEnd"/>
      <w:r w:rsidRPr="00064C98">
        <w:rPr>
          <w:rFonts w:ascii="Arial" w:hAnsi="Arial" w:cs="Arial"/>
          <w:sz w:val="22"/>
          <w:szCs w:val="22"/>
        </w:rPr>
        <w:t xml:space="preserve"> employees who are enrolled as full-time students in recognized educational institutions and whose employment is largely to provide a training opportunity, and all temporary employees not in federal grant-in-aid programs;</w:t>
      </w:r>
    </w:p>
    <w:p w14:paraId="3D27D62A"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lastRenderedPageBreak/>
        <w:t>(4) Patient and resident help in general government residential facilities;</w:t>
      </w:r>
    </w:p>
    <w:p w14:paraId="3C4FE07A"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(5) Inmate help in general government correctional facilities; and</w:t>
      </w:r>
    </w:p>
    <w:p w14:paraId="5F636C47" w14:textId="77777777" w:rsidR="00064C98" w:rsidRPr="00064C98" w:rsidRDefault="00064C98" w:rsidP="00064C98">
      <w:pPr>
        <w:ind w:firstLine="720"/>
        <w:rPr>
          <w:rFonts w:ascii="Arial" w:hAnsi="Arial" w:cs="Arial"/>
          <w:b/>
          <w:bCs/>
          <w:sz w:val="22"/>
          <w:szCs w:val="22"/>
        </w:rPr>
      </w:pPr>
      <w:r w:rsidRPr="00064C98">
        <w:rPr>
          <w:rFonts w:ascii="Arial" w:hAnsi="Arial" w:cs="Arial"/>
          <w:sz w:val="22"/>
          <w:szCs w:val="22"/>
        </w:rPr>
        <w:t>(6) Skilled and unskilled labor employed temporarily on force account; construction and maintenance projects; or employed on temporary seasonal single phases of agricultural production or harvesting; or as determined by the director to be equivalent.</w:t>
      </w:r>
      <w:r w:rsidRPr="00064C98">
        <w:rPr>
          <w:rFonts w:ascii="Arial" w:hAnsi="Arial" w:cs="Arial"/>
          <w:b/>
          <w:bCs/>
          <w:sz w:val="22"/>
          <w:szCs w:val="22"/>
        </w:rPr>
        <w:t xml:space="preserve"> </w:t>
      </w:r>
    </w:p>
    <w:p w14:paraId="68F9FFF3" w14:textId="77777777" w:rsidR="00081C90" w:rsidRDefault="00081C90" w:rsidP="00064C98">
      <w:pPr>
        <w:pStyle w:val="Heading3"/>
        <w:spacing w:before="0"/>
        <w:rPr>
          <w:rFonts w:ascii="Arial" w:hAnsi="Arial" w:cs="Arial"/>
          <w:b w:val="0"/>
          <w:color w:val="auto"/>
          <w:sz w:val="22"/>
          <w:szCs w:val="22"/>
          <w:u w:val="single"/>
        </w:rPr>
      </w:pPr>
    </w:p>
    <w:p w14:paraId="53543BFE" w14:textId="4DD7C053"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618E5331" w14:textId="77777777" w:rsidR="00064C98" w:rsidRPr="00064C98" w:rsidRDefault="00064C98" w:rsidP="00064C98">
      <w:pPr>
        <w:pStyle w:val="Heading3"/>
        <w:spacing w:before="0"/>
        <w:rPr>
          <w:rFonts w:ascii="Arial" w:hAnsi="Arial" w:cs="Arial"/>
          <w:b w:val="0"/>
          <w:color w:val="auto"/>
          <w:sz w:val="22"/>
          <w:szCs w:val="22"/>
          <w:u w:val="single"/>
        </w:rPr>
      </w:pPr>
    </w:p>
    <w:p w14:paraId="2C1A696D" w14:textId="77777777" w:rsidR="00064C98" w:rsidRPr="00022B0F" w:rsidRDefault="00064C98" w:rsidP="00064C98">
      <w:pPr>
        <w:pStyle w:val="Heading3"/>
        <w:spacing w:before="0"/>
        <w:rPr>
          <w:rFonts w:ascii="Arial" w:hAnsi="Arial" w:cs="Arial"/>
          <w:color w:val="auto"/>
          <w:sz w:val="22"/>
          <w:szCs w:val="22"/>
          <w:u w:val="single"/>
        </w:rPr>
      </w:pPr>
      <w:r w:rsidRPr="00064C98">
        <w:rPr>
          <w:rFonts w:ascii="Arial" w:hAnsi="Arial" w:cs="Arial"/>
          <w:color w:val="auto"/>
          <w:sz w:val="22"/>
          <w:szCs w:val="22"/>
        </w:rPr>
        <w:t>WAC</w:t>
      </w:r>
      <w:r w:rsidRPr="00064C98">
        <w:rPr>
          <w:rFonts w:ascii="Arial" w:hAnsi="Arial" w:cs="Arial"/>
          <w:b w:val="0"/>
          <w:bCs w:val="0"/>
          <w:color w:val="auto"/>
          <w:sz w:val="22"/>
          <w:szCs w:val="22"/>
        </w:rPr>
        <w:t xml:space="preserve"> </w:t>
      </w:r>
      <w:r w:rsidRPr="00064C98">
        <w:rPr>
          <w:rFonts w:ascii="Arial" w:hAnsi="Arial" w:cs="Arial"/>
          <w:color w:val="auto"/>
          <w:sz w:val="22"/>
          <w:szCs w:val="22"/>
        </w:rPr>
        <w:t>357-19-435</w:t>
      </w:r>
      <w:r w:rsidRPr="00064C98">
        <w:rPr>
          <w:rFonts w:ascii="Arial" w:hAnsi="Arial" w:cs="Arial"/>
          <w:b w:val="0"/>
          <w:bCs w:val="0"/>
          <w:color w:val="auto"/>
          <w:sz w:val="22"/>
          <w:szCs w:val="22"/>
        </w:rPr>
        <w:t xml:space="preserve"> </w:t>
      </w:r>
      <w:proofErr w:type="gramStart"/>
      <w:r w:rsidRPr="00064C98">
        <w:rPr>
          <w:rFonts w:ascii="Arial" w:hAnsi="Arial" w:cs="Arial"/>
          <w:color w:val="auto"/>
          <w:sz w:val="22"/>
          <w:szCs w:val="22"/>
        </w:rPr>
        <w:t>For</w:t>
      </w:r>
      <w:proofErr w:type="gramEnd"/>
      <w:r w:rsidRPr="00064C98">
        <w:rPr>
          <w:rFonts w:ascii="Arial" w:hAnsi="Arial" w:cs="Arial"/>
          <w:color w:val="auto"/>
          <w:sz w:val="22"/>
          <w:szCs w:val="22"/>
        </w:rPr>
        <w:t xml:space="preserve"> what reasons may a higher education employer </w:t>
      </w:r>
      <w:r w:rsidRPr="00064C98">
        <w:rPr>
          <w:rFonts w:ascii="Arial" w:hAnsi="Arial" w:cs="Arial"/>
          <w:strike/>
          <w:color w:val="auto"/>
          <w:sz w:val="22"/>
          <w:szCs w:val="22"/>
        </w:rPr>
        <w:t>make</w:t>
      </w:r>
      <w:r w:rsidRPr="00064C98">
        <w:rPr>
          <w:rFonts w:ascii="Arial" w:hAnsi="Arial" w:cs="Arial"/>
          <w:color w:val="auto"/>
          <w:sz w:val="22"/>
          <w:szCs w:val="22"/>
        </w:rPr>
        <w:t xml:space="preserve"> </w:t>
      </w:r>
      <w:r w:rsidRPr="00022B0F">
        <w:rPr>
          <w:rFonts w:ascii="Arial" w:hAnsi="Arial" w:cs="Arial"/>
          <w:bCs w:val="0"/>
          <w:color w:val="auto"/>
          <w:sz w:val="22"/>
          <w:szCs w:val="22"/>
          <w:u w:val="single"/>
        </w:rPr>
        <w:t xml:space="preserve">appoint </w:t>
      </w:r>
      <w:r w:rsidRPr="00022B0F">
        <w:rPr>
          <w:rFonts w:ascii="Arial" w:hAnsi="Arial" w:cs="Arial"/>
          <w:color w:val="auto"/>
          <w:sz w:val="22"/>
          <w:szCs w:val="22"/>
        </w:rPr>
        <w:t>a</w:t>
      </w:r>
      <w:r w:rsidRPr="00022B0F">
        <w:rPr>
          <w:rFonts w:ascii="Arial" w:hAnsi="Arial" w:cs="Arial"/>
          <w:bCs w:val="0"/>
          <w:color w:val="auto"/>
          <w:sz w:val="22"/>
          <w:szCs w:val="22"/>
          <w:u w:val="single"/>
        </w:rPr>
        <w:t>n individual to a</w:t>
      </w:r>
      <w:r w:rsidRPr="00022B0F">
        <w:rPr>
          <w:rFonts w:ascii="Arial" w:hAnsi="Arial" w:cs="Arial"/>
          <w:color w:val="auto"/>
          <w:sz w:val="22"/>
          <w:szCs w:val="22"/>
        </w:rPr>
        <w:t xml:space="preserve"> temporary appointment?</w:t>
      </w:r>
    </w:p>
    <w:p w14:paraId="03CCC87D" w14:textId="77777777" w:rsidR="00022B0F" w:rsidRDefault="00022B0F" w:rsidP="00022B0F">
      <w:pPr>
        <w:rPr>
          <w:rFonts w:ascii="Arial" w:hAnsi="Arial" w:cs="Arial"/>
          <w:sz w:val="22"/>
          <w:szCs w:val="22"/>
        </w:rPr>
      </w:pPr>
    </w:p>
    <w:p w14:paraId="0C4B4049" w14:textId="7D74C594" w:rsidR="00064C98" w:rsidRPr="00064C98" w:rsidRDefault="00064C98" w:rsidP="00022B0F">
      <w:pPr>
        <w:rPr>
          <w:rFonts w:ascii="Arial" w:hAnsi="Arial" w:cs="Arial"/>
          <w:sz w:val="22"/>
          <w:szCs w:val="22"/>
        </w:rPr>
      </w:pPr>
      <w:r w:rsidRPr="00064C98">
        <w:rPr>
          <w:rFonts w:ascii="Arial" w:hAnsi="Arial" w:cs="Arial"/>
          <w:sz w:val="22"/>
          <w:szCs w:val="22"/>
        </w:rPr>
        <w:t xml:space="preserve">A higher education employer may </w:t>
      </w:r>
      <w:r w:rsidRPr="00064C98">
        <w:rPr>
          <w:rFonts w:ascii="Arial" w:hAnsi="Arial" w:cs="Arial"/>
          <w:sz w:val="22"/>
          <w:szCs w:val="22"/>
          <w:u w:val="single"/>
        </w:rPr>
        <w:t>appoint an individual to</w:t>
      </w:r>
      <w:r w:rsidRPr="00064C98">
        <w:rPr>
          <w:rFonts w:ascii="Arial" w:hAnsi="Arial" w:cs="Arial"/>
          <w:sz w:val="22"/>
          <w:szCs w:val="22"/>
        </w:rPr>
        <w:t xml:space="preserve"> </w:t>
      </w:r>
      <w:r w:rsidRPr="00064C98">
        <w:rPr>
          <w:rFonts w:ascii="Arial" w:hAnsi="Arial" w:cs="Arial"/>
          <w:strike/>
          <w:sz w:val="22"/>
          <w:szCs w:val="22"/>
        </w:rPr>
        <w:t>make</w:t>
      </w:r>
      <w:r w:rsidRPr="00064C98">
        <w:rPr>
          <w:rFonts w:ascii="Arial" w:hAnsi="Arial" w:cs="Arial"/>
          <w:sz w:val="22"/>
          <w:szCs w:val="22"/>
        </w:rPr>
        <w:t xml:space="preserve"> a temporary appointment for the following reasons:</w:t>
      </w:r>
    </w:p>
    <w:p w14:paraId="3DEDE126"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(1) The number of hours to be worked by the individual will not exceed one thousand fifty hours in </w:t>
      </w:r>
      <w:r w:rsidRPr="00064C98">
        <w:rPr>
          <w:rFonts w:ascii="Arial" w:hAnsi="Arial" w:cs="Arial"/>
          <w:strike/>
          <w:sz w:val="22"/>
          <w:szCs w:val="22"/>
        </w:rPr>
        <w:t xml:space="preserve">any </w:t>
      </w:r>
      <w:r w:rsidRPr="00064C98">
        <w:rPr>
          <w:rFonts w:ascii="Arial" w:hAnsi="Arial" w:cs="Arial"/>
          <w:sz w:val="22"/>
          <w:szCs w:val="22"/>
          <w:u w:val="single"/>
        </w:rPr>
        <w:t>a</w:t>
      </w:r>
      <w:r w:rsidRPr="00064C98">
        <w:rPr>
          <w:rFonts w:ascii="Arial" w:hAnsi="Arial" w:cs="Arial"/>
          <w:strike/>
          <w:sz w:val="22"/>
          <w:szCs w:val="22"/>
          <w:u w:val="single"/>
        </w:rPr>
        <w:t xml:space="preserve"> </w:t>
      </w:r>
      <w:r w:rsidRPr="00064C98">
        <w:rPr>
          <w:rFonts w:ascii="Arial" w:hAnsi="Arial" w:cs="Arial"/>
          <w:sz w:val="22"/>
          <w:szCs w:val="22"/>
        </w:rPr>
        <w:t xml:space="preserve">twelve consecutive month period from the original date of hire or </w:t>
      </w:r>
      <w:r w:rsidRPr="00064C98">
        <w:rPr>
          <w:rFonts w:ascii="Arial" w:hAnsi="Arial" w:cs="Arial"/>
          <w:strike/>
          <w:sz w:val="22"/>
          <w:szCs w:val="22"/>
        </w:rPr>
        <w:t>October 1, 1989</w:t>
      </w:r>
      <w:r w:rsidRPr="00064C98">
        <w:rPr>
          <w:rFonts w:ascii="Arial" w:hAnsi="Arial" w:cs="Arial"/>
          <w:sz w:val="22"/>
          <w:szCs w:val="22"/>
        </w:rPr>
        <w:t xml:space="preserve"> </w:t>
      </w:r>
      <w:r w:rsidRPr="00064C98">
        <w:rPr>
          <w:rFonts w:ascii="Arial" w:hAnsi="Arial" w:cs="Arial"/>
          <w:sz w:val="22"/>
          <w:szCs w:val="22"/>
          <w:u w:val="single"/>
        </w:rPr>
        <w:t>July 1, 2020</w:t>
      </w:r>
      <w:r w:rsidRPr="00064C98">
        <w:rPr>
          <w:rFonts w:ascii="Arial" w:hAnsi="Arial" w:cs="Arial"/>
          <w:sz w:val="22"/>
          <w:szCs w:val="22"/>
        </w:rPr>
        <w:t xml:space="preserve">, whichever is later, in accordance with WAC </w:t>
      </w:r>
      <w:hyperlink r:id="rId35" w:history="1">
        <w:r w:rsidRPr="00064C98">
          <w:rPr>
            <w:rFonts w:ascii="Arial" w:hAnsi="Arial" w:cs="Arial"/>
            <w:sz w:val="22"/>
            <w:szCs w:val="22"/>
            <w:u w:val="single"/>
          </w:rPr>
          <w:t>357-04-045</w:t>
        </w:r>
      </w:hyperlink>
      <w:r w:rsidRPr="00064C98">
        <w:rPr>
          <w:rFonts w:ascii="Arial" w:hAnsi="Arial" w:cs="Arial"/>
          <w:sz w:val="22"/>
          <w:szCs w:val="22"/>
        </w:rPr>
        <w:t>; or</w:t>
      </w:r>
    </w:p>
    <w:p w14:paraId="69E34439"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The employing official formally assigns a classified employee the duties and responsibilities of a higher-level class for a period of less than six consecutive months. </w:t>
      </w:r>
      <w:r w:rsidRPr="00064C98">
        <w:rPr>
          <w:rFonts w:ascii="Arial" w:hAnsi="Arial" w:cs="Arial"/>
          <w:sz w:val="22"/>
          <w:szCs w:val="22"/>
          <w:u w:val="single"/>
        </w:rPr>
        <w:t>In accordance with WAC 357-19-441(2), temporary appointments under this subsection are not exempt from civil service rules</w:t>
      </w:r>
      <w:r w:rsidRPr="00064C98">
        <w:rPr>
          <w:rFonts w:ascii="Arial" w:hAnsi="Arial" w:cs="Arial"/>
          <w:sz w:val="22"/>
          <w:szCs w:val="22"/>
        </w:rPr>
        <w:t>.</w:t>
      </w:r>
    </w:p>
    <w:p w14:paraId="4EBD1B3E" w14:textId="77777777" w:rsidR="00064C98" w:rsidRPr="00064C98" w:rsidRDefault="00064C98" w:rsidP="00064C98">
      <w:pPr>
        <w:rPr>
          <w:rFonts w:ascii="Arial" w:hAnsi="Arial" w:cs="Arial"/>
          <w:sz w:val="22"/>
          <w:szCs w:val="22"/>
        </w:rPr>
      </w:pPr>
    </w:p>
    <w:p w14:paraId="47CAFFE0"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51C712DC" w14:textId="77777777" w:rsidR="00064C98" w:rsidRPr="00064C98" w:rsidRDefault="00064C98" w:rsidP="00064C98">
      <w:pPr>
        <w:outlineLvl w:val="2"/>
        <w:rPr>
          <w:rFonts w:ascii="Arial" w:hAnsi="Arial" w:cs="Arial"/>
          <w:b/>
          <w:bCs/>
          <w:sz w:val="22"/>
          <w:szCs w:val="22"/>
        </w:rPr>
      </w:pPr>
    </w:p>
    <w:p w14:paraId="5D2B5DA2" w14:textId="77777777"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WAC 357-19-440 What provisions govern higher education temporary appointments?</w:t>
      </w:r>
    </w:p>
    <w:p w14:paraId="18F81187" w14:textId="77777777" w:rsidR="00022B0F" w:rsidRDefault="00022B0F" w:rsidP="00022B0F">
      <w:pPr>
        <w:rPr>
          <w:rFonts w:ascii="Arial" w:hAnsi="Arial" w:cs="Arial"/>
          <w:sz w:val="22"/>
          <w:szCs w:val="22"/>
        </w:rPr>
      </w:pPr>
    </w:p>
    <w:p w14:paraId="63B3F647" w14:textId="1793B79F" w:rsidR="00064C98" w:rsidRPr="00064C98" w:rsidRDefault="00064C98" w:rsidP="00022B0F">
      <w:pPr>
        <w:rPr>
          <w:rFonts w:ascii="Arial" w:hAnsi="Arial" w:cs="Arial"/>
          <w:sz w:val="22"/>
          <w:szCs w:val="22"/>
        </w:rPr>
      </w:pPr>
      <w:r w:rsidRPr="00064C98">
        <w:rPr>
          <w:rFonts w:ascii="Arial" w:hAnsi="Arial" w:cs="Arial"/>
          <w:sz w:val="22"/>
          <w:szCs w:val="22"/>
        </w:rPr>
        <w:t xml:space="preserve">(1) Temporary appointments may be made without regard to rules on recruitment, assessment, and certification as provided in chapter </w:t>
      </w:r>
      <w:hyperlink r:id="rId36" w:history="1">
        <w:r w:rsidRPr="00064C98">
          <w:rPr>
            <w:rFonts w:ascii="Arial" w:hAnsi="Arial" w:cs="Arial"/>
            <w:sz w:val="22"/>
            <w:szCs w:val="22"/>
            <w:u w:val="single"/>
          </w:rPr>
          <w:t>357-16</w:t>
        </w:r>
      </w:hyperlink>
      <w:r w:rsidRPr="00064C98">
        <w:rPr>
          <w:rFonts w:ascii="Arial" w:hAnsi="Arial" w:cs="Arial"/>
          <w:sz w:val="22"/>
          <w:szCs w:val="22"/>
        </w:rPr>
        <w:t xml:space="preserve"> WAC.</w:t>
      </w:r>
    </w:p>
    <w:p w14:paraId="09FBE740"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Each higher education employer must develop for director approval a procedure which indicates the employer's system for controlling and monitoring </w:t>
      </w:r>
      <w:r w:rsidRPr="00064C98">
        <w:rPr>
          <w:rFonts w:ascii="Arial" w:hAnsi="Arial" w:cs="Arial"/>
          <w:strike/>
          <w:sz w:val="22"/>
          <w:szCs w:val="22"/>
        </w:rPr>
        <w:t xml:space="preserve">exempt part-time and </w:t>
      </w:r>
      <w:r w:rsidRPr="00064C98">
        <w:rPr>
          <w:rFonts w:ascii="Arial" w:hAnsi="Arial" w:cs="Arial"/>
          <w:sz w:val="22"/>
          <w:szCs w:val="22"/>
        </w:rPr>
        <w:t xml:space="preserve">temporary positions as identified in WAC </w:t>
      </w:r>
      <w:hyperlink r:id="rId37" w:history="1">
        <w:r w:rsidRPr="00064C98">
          <w:rPr>
            <w:rFonts w:ascii="Arial" w:hAnsi="Arial" w:cs="Arial"/>
            <w:sz w:val="22"/>
            <w:szCs w:val="22"/>
            <w:u w:val="single"/>
          </w:rPr>
          <w:t>357-04-045</w:t>
        </w:r>
      </w:hyperlink>
      <w:r w:rsidRPr="00064C98">
        <w:rPr>
          <w:rFonts w:ascii="Arial" w:hAnsi="Arial" w:cs="Arial"/>
          <w:sz w:val="22"/>
          <w:szCs w:val="22"/>
        </w:rPr>
        <w:t>. The procedure must include a mechanism to access and report hours worked by an individual temporary employee.</w:t>
      </w:r>
    </w:p>
    <w:p w14:paraId="1FE3337B" w14:textId="77777777" w:rsidR="00064C98" w:rsidRPr="00064C98" w:rsidRDefault="00064C98" w:rsidP="00064C98">
      <w:pPr>
        <w:ind w:firstLine="720"/>
        <w:rPr>
          <w:rFonts w:ascii="Arial" w:hAnsi="Arial" w:cs="Arial"/>
          <w:strike/>
          <w:sz w:val="22"/>
          <w:szCs w:val="22"/>
        </w:rPr>
      </w:pPr>
      <w:r w:rsidRPr="00064C98">
        <w:rPr>
          <w:rFonts w:ascii="Arial" w:hAnsi="Arial" w:cs="Arial"/>
          <w:sz w:val="22"/>
          <w:szCs w:val="22"/>
        </w:rPr>
        <w:t xml:space="preserve">(3) </w:t>
      </w:r>
      <w:r w:rsidRPr="00064C98">
        <w:rPr>
          <w:rFonts w:ascii="Arial" w:hAnsi="Arial" w:cs="Arial"/>
          <w:strike/>
          <w:sz w:val="22"/>
          <w:szCs w:val="22"/>
        </w:rPr>
        <w:t xml:space="preserve">A higher education employer may petition the director in writing for approval of exceptions to the one thousand fifty hours threshold as specified in WAC </w:t>
      </w:r>
      <w:hyperlink r:id="rId38" w:history="1">
        <w:r w:rsidRPr="00064C98">
          <w:rPr>
            <w:rFonts w:ascii="Arial" w:hAnsi="Arial" w:cs="Arial"/>
            <w:strike/>
            <w:sz w:val="22"/>
            <w:szCs w:val="22"/>
          </w:rPr>
          <w:t>357-19-435</w:t>
        </w:r>
      </w:hyperlink>
      <w:r w:rsidRPr="00064C98">
        <w:rPr>
          <w:rFonts w:ascii="Arial" w:hAnsi="Arial" w:cs="Arial"/>
          <w:strike/>
          <w:sz w:val="22"/>
          <w:szCs w:val="22"/>
        </w:rPr>
        <w:t>(1).</w:t>
      </w:r>
    </w:p>
    <w:p w14:paraId="6A3AB61F" w14:textId="77777777" w:rsidR="00064C98" w:rsidRPr="00064C98" w:rsidRDefault="00064C98" w:rsidP="00064C98">
      <w:pPr>
        <w:ind w:firstLine="720"/>
        <w:rPr>
          <w:rFonts w:ascii="Arial" w:hAnsi="Arial" w:cs="Arial"/>
          <w:sz w:val="22"/>
          <w:szCs w:val="22"/>
        </w:rPr>
      </w:pPr>
      <w:r w:rsidRPr="00064C98">
        <w:rPr>
          <w:rFonts w:ascii="Arial" w:hAnsi="Arial" w:cs="Arial"/>
          <w:strike/>
          <w:sz w:val="22"/>
          <w:szCs w:val="22"/>
        </w:rPr>
        <w:t>(4)</w:t>
      </w:r>
      <w:r w:rsidRPr="00064C98">
        <w:rPr>
          <w:rFonts w:ascii="Arial" w:hAnsi="Arial" w:cs="Arial"/>
          <w:sz w:val="22"/>
          <w:szCs w:val="22"/>
        </w:rPr>
        <w:t xml:space="preserve"> No temporary appointment shall take the place of employees laid off under the provisions of WAC </w:t>
      </w:r>
      <w:hyperlink r:id="rId39" w:history="1">
        <w:r w:rsidRPr="00064C98">
          <w:rPr>
            <w:rFonts w:ascii="Arial" w:hAnsi="Arial" w:cs="Arial"/>
            <w:sz w:val="22"/>
            <w:szCs w:val="22"/>
            <w:u w:val="single"/>
          </w:rPr>
          <w:t>357-46-010</w:t>
        </w:r>
      </w:hyperlink>
      <w:r w:rsidRPr="00064C98">
        <w:rPr>
          <w:rFonts w:ascii="Arial" w:hAnsi="Arial" w:cs="Arial"/>
          <w:sz w:val="22"/>
          <w:szCs w:val="22"/>
        </w:rPr>
        <w:t>.</w:t>
      </w:r>
    </w:p>
    <w:p w14:paraId="6969A531" w14:textId="77777777" w:rsidR="00064C98" w:rsidRPr="00064C98" w:rsidRDefault="00064C98" w:rsidP="00064C98">
      <w:pPr>
        <w:rPr>
          <w:rFonts w:ascii="Arial" w:hAnsi="Arial" w:cs="Arial"/>
          <w:sz w:val="22"/>
          <w:szCs w:val="22"/>
        </w:rPr>
      </w:pPr>
    </w:p>
    <w:p w14:paraId="7016EA3A"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3A24AFD4" w14:textId="77777777" w:rsidR="00064C98" w:rsidRPr="00064C98" w:rsidRDefault="00064C98" w:rsidP="00064C98">
      <w:pPr>
        <w:outlineLvl w:val="2"/>
        <w:rPr>
          <w:rFonts w:ascii="Arial" w:hAnsi="Arial" w:cs="Arial"/>
          <w:b/>
          <w:bCs/>
          <w:sz w:val="22"/>
          <w:szCs w:val="22"/>
        </w:rPr>
      </w:pPr>
    </w:p>
    <w:p w14:paraId="2C7A1C21" w14:textId="77777777" w:rsidR="00064C98" w:rsidRPr="00064C98" w:rsidRDefault="00064C98" w:rsidP="00064C98">
      <w:pPr>
        <w:outlineLvl w:val="2"/>
        <w:rPr>
          <w:rFonts w:ascii="Arial" w:hAnsi="Arial" w:cs="Arial"/>
          <w:b/>
          <w:bCs/>
          <w:sz w:val="22"/>
          <w:szCs w:val="22"/>
        </w:rPr>
      </w:pPr>
      <w:r w:rsidRPr="00064C98">
        <w:rPr>
          <w:rFonts w:ascii="Arial" w:hAnsi="Arial" w:cs="Arial"/>
          <w:b/>
          <w:bCs/>
          <w:sz w:val="22"/>
          <w:szCs w:val="22"/>
        </w:rPr>
        <w:t>WAC 357-19-450 When may the director take remedial action for individuals in higher education temporary appointments and what does remedial action include?</w:t>
      </w:r>
    </w:p>
    <w:p w14:paraId="648AA866" w14:textId="77777777" w:rsidR="00022B0F" w:rsidRDefault="00022B0F" w:rsidP="00022B0F">
      <w:pPr>
        <w:rPr>
          <w:rFonts w:ascii="Arial" w:hAnsi="Arial" w:cs="Arial"/>
          <w:sz w:val="22"/>
          <w:szCs w:val="22"/>
        </w:rPr>
      </w:pPr>
    </w:p>
    <w:p w14:paraId="6395D5BC" w14:textId="6DEAD217" w:rsidR="00064C98" w:rsidRPr="00064C98" w:rsidRDefault="00064C98" w:rsidP="00022B0F">
      <w:pPr>
        <w:rPr>
          <w:rFonts w:ascii="Arial" w:hAnsi="Arial" w:cs="Arial"/>
          <w:sz w:val="22"/>
          <w:szCs w:val="22"/>
        </w:rPr>
      </w:pPr>
      <w:r w:rsidRPr="00064C98">
        <w:rPr>
          <w:rFonts w:ascii="Arial" w:hAnsi="Arial" w:cs="Arial"/>
          <w:sz w:val="22"/>
          <w:szCs w:val="22"/>
        </w:rPr>
        <w:t xml:space="preserve">For individuals in higher education temporary appointments under the provisions of WAC </w:t>
      </w:r>
      <w:hyperlink r:id="rId40" w:history="1">
        <w:r w:rsidRPr="00064C98">
          <w:rPr>
            <w:rFonts w:ascii="Arial" w:hAnsi="Arial" w:cs="Arial"/>
            <w:sz w:val="22"/>
            <w:szCs w:val="22"/>
            <w:u w:val="single"/>
          </w:rPr>
          <w:t>357-19-435</w:t>
        </w:r>
      </w:hyperlink>
      <w:r w:rsidRPr="00064C98">
        <w:rPr>
          <w:rFonts w:ascii="Arial" w:hAnsi="Arial" w:cs="Arial"/>
          <w:sz w:val="22"/>
          <w:szCs w:val="22"/>
        </w:rPr>
        <w:t>(1), the director may take remedial action to confer permanent status, set base salary, and establish seniority when it is determined that the following conditions exist:</w:t>
      </w:r>
    </w:p>
    <w:p w14:paraId="06356C89"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(1) The </w:t>
      </w:r>
      <w:proofErr w:type="spellStart"/>
      <w:r w:rsidRPr="00064C98">
        <w:rPr>
          <w:rFonts w:ascii="Arial" w:hAnsi="Arial" w:cs="Arial"/>
          <w:strike/>
          <w:sz w:val="22"/>
          <w:szCs w:val="22"/>
        </w:rPr>
        <w:t>employee</w:t>
      </w:r>
      <w:r w:rsidRPr="00064C98">
        <w:rPr>
          <w:rFonts w:ascii="Arial" w:hAnsi="Arial" w:cs="Arial"/>
          <w:sz w:val="22"/>
          <w:szCs w:val="22"/>
          <w:u w:val="single"/>
        </w:rPr>
        <w:t>individual</w:t>
      </w:r>
      <w:proofErr w:type="spellEnd"/>
      <w:r w:rsidRPr="00064C98">
        <w:rPr>
          <w:rFonts w:ascii="Arial" w:hAnsi="Arial" w:cs="Arial"/>
          <w:sz w:val="22"/>
          <w:szCs w:val="22"/>
        </w:rPr>
        <w:t xml:space="preserve"> has worked in one or more </w:t>
      </w:r>
      <w:r w:rsidRPr="00064C98">
        <w:rPr>
          <w:rFonts w:ascii="Arial" w:hAnsi="Arial" w:cs="Arial"/>
          <w:sz w:val="22"/>
          <w:szCs w:val="22"/>
          <w:u w:val="single"/>
        </w:rPr>
        <w:t xml:space="preserve">temporary </w:t>
      </w:r>
      <w:r w:rsidRPr="00064C98">
        <w:rPr>
          <w:rFonts w:ascii="Arial" w:hAnsi="Arial" w:cs="Arial"/>
          <w:sz w:val="22"/>
          <w:szCs w:val="22"/>
        </w:rPr>
        <w:t xml:space="preserve">positions </w:t>
      </w:r>
      <w:r w:rsidRPr="00064C98">
        <w:rPr>
          <w:rFonts w:ascii="Arial" w:hAnsi="Arial" w:cs="Arial"/>
          <w:sz w:val="22"/>
          <w:szCs w:val="22"/>
          <w:u w:val="single"/>
        </w:rPr>
        <w:t xml:space="preserve">as identified in WAC 357-04-045 </w:t>
      </w:r>
      <w:r w:rsidRPr="00064C98">
        <w:rPr>
          <w:rFonts w:ascii="Arial" w:hAnsi="Arial" w:cs="Arial"/>
          <w:sz w:val="22"/>
          <w:szCs w:val="22"/>
        </w:rPr>
        <w:t xml:space="preserve">for more than one thousand fifty hours in any twelve consecutive month period since the original hire date or </w:t>
      </w:r>
      <w:r w:rsidRPr="00064C98">
        <w:rPr>
          <w:rFonts w:ascii="Arial" w:hAnsi="Arial" w:cs="Arial"/>
          <w:strike/>
          <w:sz w:val="22"/>
          <w:szCs w:val="22"/>
        </w:rPr>
        <w:t>October 1, 1989</w:t>
      </w:r>
      <w:r w:rsidRPr="00064C98">
        <w:rPr>
          <w:rFonts w:ascii="Arial" w:hAnsi="Arial" w:cs="Arial"/>
          <w:sz w:val="22"/>
          <w:szCs w:val="22"/>
          <w:u w:val="single"/>
        </w:rPr>
        <w:t>July 1, 2020</w:t>
      </w:r>
      <w:r w:rsidRPr="00064C98">
        <w:rPr>
          <w:rFonts w:ascii="Arial" w:hAnsi="Arial" w:cs="Arial"/>
          <w:sz w:val="22"/>
          <w:szCs w:val="22"/>
        </w:rPr>
        <w:t xml:space="preserve">, whichever is later. (Overtime and time worked as a student employee under the provisions of WAC </w:t>
      </w:r>
      <w:hyperlink r:id="rId41" w:history="1">
        <w:r w:rsidRPr="00064C98">
          <w:rPr>
            <w:rFonts w:ascii="Arial" w:hAnsi="Arial" w:cs="Arial"/>
            <w:sz w:val="22"/>
            <w:szCs w:val="22"/>
            <w:u w:val="single"/>
          </w:rPr>
          <w:t>357-04-040</w:t>
        </w:r>
      </w:hyperlink>
      <w:r w:rsidRPr="00064C98">
        <w:rPr>
          <w:rFonts w:ascii="Arial" w:hAnsi="Arial" w:cs="Arial"/>
          <w:sz w:val="22"/>
          <w:szCs w:val="22"/>
        </w:rPr>
        <w:t xml:space="preserve"> are not counted in the one thousand fifty hours.)</w:t>
      </w:r>
    </w:p>
    <w:p w14:paraId="4A917213"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(2) The position or positions are subject to civil service.</w:t>
      </w:r>
    </w:p>
    <w:p w14:paraId="48D2267B"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(3) The employee has not taken part in any willful failure to comply with these rules.</w:t>
      </w:r>
    </w:p>
    <w:p w14:paraId="411B25E2" w14:textId="77777777" w:rsidR="00064C98" w:rsidRPr="00064C98" w:rsidRDefault="00064C98" w:rsidP="00064C98">
      <w:pPr>
        <w:rPr>
          <w:rFonts w:ascii="Arial" w:hAnsi="Arial" w:cs="Arial"/>
          <w:sz w:val="22"/>
          <w:szCs w:val="22"/>
        </w:rPr>
      </w:pPr>
    </w:p>
    <w:p w14:paraId="498929D7" w14:textId="02D6144F" w:rsidR="00064C98" w:rsidRDefault="00064C98" w:rsidP="00064C98">
      <w:pPr>
        <w:rPr>
          <w:rFonts w:ascii="Arial" w:hAnsi="Arial" w:cs="Arial"/>
          <w:b/>
          <w:sz w:val="22"/>
          <w:szCs w:val="22"/>
          <w:u w:val="single"/>
        </w:rPr>
      </w:pPr>
      <w:r>
        <w:rPr>
          <w:rFonts w:ascii="Arial" w:hAnsi="Arial" w:cs="Arial"/>
          <w:b/>
          <w:sz w:val="22"/>
          <w:szCs w:val="22"/>
          <w:u w:val="single"/>
        </w:rPr>
        <w:t>ITEM #3</w:t>
      </w:r>
      <w:r w:rsidRPr="00064C98">
        <w:rPr>
          <w:rFonts w:ascii="Arial" w:hAnsi="Arial" w:cs="Arial"/>
          <w:b/>
          <w:sz w:val="22"/>
          <w:szCs w:val="22"/>
          <w:u w:val="single"/>
        </w:rPr>
        <w:t xml:space="preserve"> – Non-permanent Rules</w:t>
      </w:r>
    </w:p>
    <w:p w14:paraId="0139EEFF" w14:textId="77777777" w:rsidR="00064C98" w:rsidRPr="00064C98" w:rsidRDefault="00064C98" w:rsidP="00064C98">
      <w:pPr>
        <w:rPr>
          <w:rFonts w:ascii="Arial" w:hAnsi="Arial" w:cs="Arial"/>
          <w:b/>
          <w:sz w:val="22"/>
          <w:szCs w:val="22"/>
          <w:u w:val="single"/>
        </w:rPr>
      </w:pPr>
    </w:p>
    <w:p w14:paraId="2E16F5AC" w14:textId="09019099" w:rsidR="00064C98" w:rsidRDefault="00064C98" w:rsidP="00064C98">
      <w:pPr>
        <w:rPr>
          <w:rFonts w:ascii="Arial" w:hAnsi="Arial" w:cs="Arial"/>
          <w:sz w:val="22"/>
          <w:szCs w:val="22"/>
        </w:rPr>
      </w:pPr>
      <w:r w:rsidRPr="00064C98">
        <w:rPr>
          <w:rFonts w:ascii="Arial" w:hAnsi="Arial" w:cs="Arial"/>
          <w:b/>
          <w:sz w:val="22"/>
          <w:szCs w:val="22"/>
          <w:u w:val="single"/>
        </w:rPr>
        <w:t>Staff note:</w:t>
      </w:r>
      <w:r w:rsidRPr="00064C98">
        <w:rPr>
          <w:rFonts w:ascii="Arial" w:hAnsi="Arial" w:cs="Arial"/>
          <w:sz w:val="22"/>
          <w:szCs w:val="22"/>
        </w:rPr>
        <w:t xml:space="preserve">  We are proposing to expand the current General Government non-permanent rules so that Institutions of Higher Education may use to fill non-permanent appointments. </w:t>
      </w:r>
    </w:p>
    <w:p w14:paraId="1C14EBE4" w14:textId="35669457" w:rsidR="00064C98" w:rsidRDefault="00064C98" w:rsidP="00064C98">
      <w:pPr>
        <w:rPr>
          <w:rFonts w:ascii="Arial" w:hAnsi="Arial" w:cs="Arial"/>
          <w:sz w:val="22"/>
          <w:szCs w:val="22"/>
        </w:rPr>
      </w:pPr>
    </w:p>
    <w:p w14:paraId="3B559756" w14:textId="6C4CE393" w:rsidR="00064C98" w:rsidRPr="00064C98" w:rsidRDefault="00064C98" w:rsidP="00064C98">
      <w:pPr>
        <w:rPr>
          <w:rFonts w:ascii="Arial" w:hAnsi="Arial" w:cs="Arial"/>
          <w:sz w:val="22"/>
          <w:szCs w:val="22"/>
        </w:rPr>
      </w:pPr>
      <w:r w:rsidRPr="00243192">
        <w:rPr>
          <w:rFonts w:ascii="Arial" w:hAnsi="Arial" w:cs="Arial"/>
          <w:sz w:val="22"/>
          <w:szCs w:val="22"/>
        </w:rPr>
        <w:t xml:space="preserve">Lead:  </w:t>
      </w:r>
      <w:r>
        <w:rPr>
          <w:rFonts w:ascii="Arial" w:hAnsi="Arial" w:cs="Arial"/>
          <w:sz w:val="22"/>
          <w:szCs w:val="22"/>
        </w:rPr>
        <w:t>Brandy Chinn</w:t>
      </w:r>
    </w:p>
    <w:p w14:paraId="41DB95C9" w14:textId="77777777" w:rsidR="00064C98" w:rsidRPr="00064C98" w:rsidRDefault="00064C98" w:rsidP="00064C98">
      <w:pPr>
        <w:rPr>
          <w:rFonts w:ascii="Arial" w:hAnsi="Arial" w:cs="Arial"/>
          <w:sz w:val="22"/>
          <w:szCs w:val="22"/>
        </w:rPr>
      </w:pPr>
    </w:p>
    <w:p w14:paraId="79F67411"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REFERENCE ONLY (NO CHANGE)</w:t>
      </w:r>
    </w:p>
    <w:p w14:paraId="7ECFAEF3" w14:textId="77777777" w:rsidR="00064C98" w:rsidRPr="00064C98" w:rsidRDefault="00064C98" w:rsidP="00064C98">
      <w:pPr>
        <w:pStyle w:val="Heading3"/>
        <w:spacing w:before="0"/>
        <w:rPr>
          <w:rFonts w:ascii="Arial" w:hAnsi="Arial" w:cs="Arial"/>
          <w:b w:val="0"/>
          <w:color w:val="auto"/>
          <w:sz w:val="22"/>
          <w:szCs w:val="22"/>
          <w:u w:val="single"/>
        </w:rPr>
      </w:pPr>
    </w:p>
    <w:p w14:paraId="0077AD5F"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WAC 357-19-380 What provisions of the civil service rules apply to nonpermanent employees?</w:t>
      </w:r>
    </w:p>
    <w:p w14:paraId="50949128" w14:textId="77777777" w:rsidR="00022B0F" w:rsidRDefault="00022B0F" w:rsidP="00022B0F">
      <w:pPr>
        <w:rPr>
          <w:rFonts w:ascii="Arial" w:hAnsi="Arial" w:cs="Arial"/>
          <w:sz w:val="22"/>
          <w:szCs w:val="22"/>
        </w:rPr>
      </w:pPr>
    </w:p>
    <w:p w14:paraId="0A42CA31" w14:textId="593606A0" w:rsidR="00064C98" w:rsidRDefault="00064C98" w:rsidP="00022B0F">
      <w:pPr>
        <w:rPr>
          <w:rFonts w:ascii="Arial" w:hAnsi="Arial" w:cs="Arial"/>
          <w:sz w:val="22"/>
          <w:szCs w:val="22"/>
        </w:rPr>
      </w:pPr>
      <w:r w:rsidRPr="00064C98">
        <w:rPr>
          <w:rFonts w:ascii="Arial" w:hAnsi="Arial" w:cs="Arial"/>
          <w:sz w:val="22"/>
          <w:szCs w:val="22"/>
        </w:rPr>
        <w:t xml:space="preserve">The leave and holiday provisions of chapter </w:t>
      </w:r>
      <w:hyperlink r:id="rId42" w:history="1">
        <w:r w:rsidRPr="00064C98">
          <w:rPr>
            <w:rFonts w:ascii="Arial" w:hAnsi="Arial" w:cs="Arial"/>
            <w:sz w:val="22"/>
            <w:szCs w:val="22"/>
            <w:u w:val="single"/>
          </w:rPr>
          <w:t>357-31</w:t>
        </w:r>
      </w:hyperlink>
      <w:r w:rsidRPr="00064C98">
        <w:rPr>
          <w:rFonts w:ascii="Arial" w:hAnsi="Arial" w:cs="Arial"/>
          <w:sz w:val="22"/>
          <w:szCs w:val="22"/>
        </w:rPr>
        <w:t xml:space="preserve"> WAC and compensation provisions of chapter </w:t>
      </w:r>
      <w:hyperlink r:id="rId43" w:history="1">
        <w:r w:rsidRPr="00064C98">
          <w:rPr>
            <w:rFonts w:ascii="Arial" w:hAnsi="Arial" w:cs="Arial"/>
            <w:sz w:val="22"/>
            <w:szCs w:val="22"/>
            <w:u w:val="single"/>
          </w:rPr>
          <w:t>357-28</w:t>
        </w:r>
      </w:hyperlink>
      <w:r w:rsidRPr="00064C98">
        <w:rPr>
          <w:rFonts w:ascii="Arial" w:hAnsi="Arial" w:cs="Arial"/>
          <w:sz w:val="22"/>
          <w:szCs w:val="22"/>
        </w:rPr>
        <w:t xml:space="preserve"> WAC apply to employees in nonpermanent appointments.</w:t>
      </w:r>
    </w:p>
    <w:p w14:paraId="08A90484" w14:textId="77777777" w:rsidR="008F215F" w:rsidRPr="00064C98" w:rsidRDefault="008F215F" w:rsidP="00022B0F">
      <w:pPr>
        <w:rPr>
          <w:rFonts w:ascii="Arial" w:hAnsi="Arial" w:cs="Arial"/>
          <w:sz w:val="22"/>
          <w:szCs w:val="22"/>
        </w:rPr>
      </w:pPr>
    </w:p>
    <w:p w14:paraId="3F536184" w14:textId="68505670"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REFERENCE ONLY (NO CHANGE)</w:t>
      </w:r>
    </w:p>
    <w:p w14:paraId="7CD0CE44" w14:textId="77777777" w:rsidR="00064C98" w:rsidRPr="00064C98" w:rsidRDefault="00064C98" w:rsidP="00064C98">
      <w:pPr>
        <w:pStyle w:val="Heading3"/>
        <w:spacing w:before="0"/>
        <w:rPr>
          <w:rFonts w:ascii="Arial" w:hAnsi="Arial" w:cs="Arial"/>
          <w:b w:val="0"/>
          <w:color w:val="auto"/>
          <w:sz w:val="22"/>
          <w:szCs w:val="22"/>
          <w:u w:val="single"/>
        </w:rPr>
      </w:pPr>
    </w:p>
    <w:p w14:paraId="71860FF8"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WAC 357-31-225 When employees separate from state service, are they entitled to a lump sum payment of unused vacation leave?</w:t>
      </w:r>
    </w:p>
    <w:p w14:paraId="09C98709" w14:textId="77777777" w:rsidR="00022B0F" w:rsidRDefault="00022B0F" w:rsidP="00022B0F">
      <w:pPr>
        <w:rPr>
          <w:rFonts w:ascii="Arial" w:hAnsi="Arial" w:cs="Arial"/>
          <w:sz w:val="22"/>
          <w:szCs w:val="22"/>
        </w:rPr>
      </w:pPr>
    </w:p>
    <w:p w14:paraId="3F1F944E" w14:textId="0F0339B5" w:rsidR="00064C98" w:rsidRPr="00064C98" w:rsidRDefault="00064C98" w:rsidP="00022B0F">
      <w:pPr>
        <w:rPr>
          <w:rFonts w:ascii="Arial" w:hAnsi="Arial" w:cs="Arial"/>
          <w:sz w:val="22"/>
          <w:szCs w:val="22"/>
        </w:rPr>
      </w:pPr>
      <w:r w:rsidRPr="00064C98">
        <w:rPr>
          <w:rFonts w:ascii="Arial" w:hAnsi="Arial" w:cs="Arial"/>
          <w:sz w:val="22"/>
          <w:szCs w:val="22"/>
        </w:rPr>
        <w:t xml:space="preserve">(1) When an employee who has completed six continuous months of employment separates from service by reason of resignation with adequate notice, layoff, trial service reversion, separation, dismissal, retirement, or death, the employee is entitled to a lump sum payment of unused vacation leave. The payment is computed by using the formula published by the office of financial management. No contributions are to be made to the department of retirement systems (DRS) for lump sum payment of excess vacation leave accumulated under the provisions of WAC </w:t>
      </w:r>
      <w:hyperlink r:id="rId44" w:history="1">
        <w:r w:rsidRPr="00064C98">
          <w:rPr>
            <w:rFonts w:ascii="Arial" w:hAnsi="Arial" w:cs="Arial"/>
            <w:sz w:val="22"/>
            <w:szCs w:val="22"/>
            <w:u w:val="single"/>
          </w:rPr>
          <w:t>357-31-215</w:t>
        </w:r>
      </w:hyperlink>
      <w:r w:rsidRPr="00064C98">
        <w:rPr>
          <w:rFonts w:ascii="Arial" w:hAnsi="Arial" w:cs="Arial"/>
          <w:sz w:val="22"/>
          <w:szCs w:val="22"/>
        </w:rPr>
        <w:t>(2), nor shall such payment be reported to the DRS as compensation.</w:t>
      </w:r>
    </w:p>
    <w:p w14:paraId="39894DE0"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(2) General government permanent employees may defer the payment of accumulated vacation leave to which they are entitled for a period of thirty calendar days in any of these circumstances:</w:t>
      </w:r>
    </w:p>
    <w:p w14:paraId="637D6689"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(a) If the separation resulted from a layoff, trial service reversion, or conclusion of a project or nonpermanent appointment and there is a reasonable probability of reemployment; or</w:t>
      </w:r>
    </w:p>
    <w:p w14:paraId="5CD37FA4"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(b) If the separation resulted from an employee returning to a classified position from an exempt position under the provision of RCW </w:t>
      </w:r>
      <w:hyperlink r:id="rId45" w:history="1">
        <w:r w:rsidRPr="00064C98">
          <w:rPr>
            <w:rFonts w:ascii="Arial" w:hAnsi="Arial" w:cs="Arial"/>
            <w:sz w:val="22"/>
            <w:szCs w:val="22"/>
            <w:u w:val="single"/>
          </w:rPr>
          <w:t>41.06.070</w:t>
        </w:r>
      </w:hyperlink>
      <w:r w:rsidRPr="00064C98">
        <w:rPr>
          <w:rFonts w:ascii="Arial" w:hAnsi="Arial" w:cs="Arial"/>
          <w:sz w:val="22"/>
          <w:szCs w:val="22"/>
        </w:rPr>
        <w:t>.</w:t>
      </w:r>
    </w:p>
    <w:p w14:paraId="2C06C8A8" w14:textId="77777777" w:rsidR="00064C98" w:rsidRDefault="00064C98" w:rsidP="00064C98">
      <w:pPr>
        <w:rPr>
          <w:rFonts w:ascii="Arial" w:hAnsi="Arial" w:cs="Arial"/>
          <w:sz w:val="22"/>
          <w:szCs w:val="22"/>
          <w:u w:val="single"/>
        </w:rPr>
      </w:pPr>
    </w:p>
    <w:p w14:paraId="200E12BE" w14:textId="5E448776" w:rsidR="00064C98" w:rsidRDefault="00064C98" w:rsidP="00064C98">
      <w:pPr>
        <w:rPr>
          <w:rFonts w:ascii="Arial" w:hAnsi="Arial" w:cs="Arial"/>
          <w:sz w:val="22"/>
          <w:szCs w:val="22"/>
          <w:u w:val="single"/>
        </w:rPr>
      </w:pPr>
      <w:r w:rsidRPr="00064C98">
        <w:rPr>
          <w:rFonts w:ascii="Arial" w:hAnsi="Arial" w:cs="Arial"/>
          <w:sz w:val="22"/>
          <w:szCs w:val="22"/>
          <w:u w:val="single"/>
        </w:rPr>
        <w:t>AMENDATORY SECTION</w:t>
      </w:r>
    </w:p>
    <w:p w14:paraId="060D9DAD" w14:textId="77777777" w:rsidR="00D53FC7" w:rsidRPr="00064C98" w:rsidRDefault="00D53FC7" w:rsidP="00064C98">
      <w:pPr>
        <w:rPr>
          <w:rFonts w:ascii="Arial" w:hAnsi="Arial" w:cs="Arial"/>
          <w:sz w:val="22"/>
          <w:szCs w:val="22"/>
          <w:u w:val="single"/>
        </w:rPr>
      </w:pPr>
    </w:p>
    <w:p w14:paraId="56F1CAE1" w14:textId="77777777" w:rsidR="00064C98" w:rsidRPr="00064C98" w:rsidRDefault="00064C98" w:rsidP="00064C98">
      <w:pPr>
        <w:spacing w:before="75" w:after="150"/>
        <w:outlineLvl w:val="2"/>
        <w:rPr>
          <w:rFonts w:ascii="Arial" w:hAnsi="Arial" w:cs="Arial"/>
          <w:b/>
          <w:bCs/>
          <w:sz w:val="22"/>
          <w:szCs w:val="22"/>
        </w:rPr>
      </w:pPr>
      <w:r w:rsidRPr="00064C98">
        <w:rPr>
          <w:rFonts w:ascii="Arial" w:hAnsi="Arial" w:cs="Arial"/>
          <w:b/>
          <w:bCs/>
          <w:sz w:val="22"/>
          <w:szCs w:val="22"/>
        </w:rPr>
        <w:t>WAC 357-01-210 Nonpermanent appointment.</w:t>
      </w:r>
    </w:p>
    <w:p w14:paraId="1500FB00" w14:textId="77777777" w:rsidR="00064C98" w:rsidRPr="00064C98" w:rsidRDefault="00064C98" w:rsidP="00022B0F">
      <w:pPr>
        <w:rPr>
          <w:rFonts w:ascii="Arial" w:hAnsi="Arial" w:cs="Arial"/>
          <w:sz w:val="22"/>
          <w:szCs w:val="22"/>
        </w:rPr>
      </w:pPr>
      <w:r w:rsidRPr="00064C98">
        <w:rPr>
          <w:rFonts w:ascii="Arial" w:hAnsi="Arial" w:cs="Arial"/>
          <w:sz w:val="22"/>
          <w:szCs w:val="22"/>
        </w:rPr>
        <w:t xml:space="preserve">An appointment made by </w:t>
      </w:r>
      <w:proofErr w:type="gramStart"/>
      <w:r w:rsidRPr="00064C98">
        <w:rPr>
          <w:rFonts w:ascii="Arial" w:hAnsi="Arial" w:cs="Arial"/>
          <w:sz w:val="22"/>
          <w:szCs w:val="22"/>
        </w:rPr>
        <w:t>a</w:t>
      </w:r>
      <w:r w:rsidRPr="00064C98">
        <w:rPr>
          <w:rFonts w:ascii="Arial" w:hAnsi="Arial" w:cs="Arial"/>
          <w:sz w:val="22"/>
          <w:szCs w:val="22"/>
          <w:u w:val="single"/>
        </w:rPr>
        <w:t>n</w:t>
      </w:r>
      <w:proofErr w:type="gramEnd"/>
      <w:r w:rsidRPr="00064C98">
        <w:rPr>
          <w:rFonts w:ascii="Arial" w:hAnsi="Arial" w:cs="Arial"/>
          <w:sz w:val="22"/>
          <w:szCs w:val="22"/>
        </w:rPr>
        <w:t xml:space="preserve"> </w:t>
      </w:r>
      <w:r w:rsidRPr="00064C98">
        <w:rPr>
          <w:rFonts w:ascii="Arial" w:hAnsi="Arial" w:cs="Arial"/>
          <w:strike/>
          <w:sz w:val="22"/>
          <w:szCs w:val="22"/>
        </w:rPr>
        <w:t>general government</w:t>
      </w:r>
      <w:r w:rsidRPr="00064C98">
        <w:rPr>
          <w:rFonts w:ascii="Arial" w:hAnsi="Arial" w:cs="Arial"/>
          <w:sz w:val="22"/>
          <w:szCs w:val="22"/>
        </w:rPr>
        <w:t xml:space="preserve"> employer under the provisions of WAC </w:t>
      </w:r>
      <w:hyperlink r:id="rId46" w:history="1">
        <w:r w:rsidRPr="00064C98">
          <w:rPr>
            <w:rFonts w:ascii="Arial" w:hAnsi="Arial" w:cs="Arial"/>
            <w:sz w:val="22"/>
            <w:szCs w:val="22"/>
            <w:u w:val="single"/>
          </w:rPr>
          <w:t>357-19-360</w:t>
        </w:r>
      </w:hyperlink>
      <w:r w:rsidRPr="00064C98">
        <w:rPr>
          <w:rFonts w:ascii="Arial" w:hAnsi="Arial" w:cs="Arial"/>
          <w:sz w:val="22"/>
          <w:szCs w:val="22"/>
        </w:rPr>
        <w:t>.</w:t>
      </w:r>
    </w:p>
    <w:p w14:paraId="5E3E6006" w14:textId="77777777" w:rsidR="00064C98" w:rsidRDefault="00064C98" w:rsidP="00064C98">
      <w:pPr>
        <w:pStyle w:val="Heading3"/>
        <w:spacing w:before="0"/>
        <w:rPr>
          <w:rFonts w:ascii="Arial" w:hAnsi="Arial" w:cs="Arial"/>
          <w:b w:val="0"/>
          <w:color w:val="auto"/>
          <w:sz w:val="22"/>
          <w:szCs w:val="22"/>
          <w:u w:val="single"/>
        </w:rPr>
      </w:pPr>
    </w:p>
    <w:p w14:paraId="4C0F0341" w14:textId="0A00DD81"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76FCA190" w14:textId="77777777" w:rsidR="00064C98" w:rsidRPr="00064C98" w:rsidRDefault="00064C98" w:rsidP="00064C98">
      <w:pPr>
        <w:pStyle w:val="Heading3"/>
        <w:spacing w:before="0"/>
        <w:rPr>
          <w:rFonts w:ascii="Arial" w:hAnsi="Arial" w:cs="Arial"/>
          <w:b w:val="0"/>
          <w:color w:val="auto"/>
          <w:sz w:val="22"/>
          <w:szCs w:val="22"/>
          <w:u w:val="single"/>
        </w:rPr>
      </w:pPr>
    </w:p>
    <w:p w14:paraId="54CF000E"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WAC 357-19-360</w:t>
      </w:r>
      <w:r w:rsidRPr="00064C98">
        <w:rPr>
          <w:rFonts w:ascii="Arial" w:hAnsi="Arial" w:cs="Arial"/>
          <w:b w:val="0"/>
          <w:bCs w:val="0"/>
          <w:color w:val="auto"/>
          <w:sz w:val="22"/>
          <w:szCs w:val="22"/>
        </w:rPr>
        <w:t xml:space="preserve"> </w:t>
      </w:r>
      <w:proofErr w:type="gramStart"/>
      <w:r w:rsidRPr="00064C98">
        <w:rPr>
          <w:rFonts w:ascii="Arial" w:hAnsi="Arial" w:cs="Arial"/>
          <w:color w:val="auto"/>
          <w:sz w:val="22"/>
          <w:szCs w:val="22"/>
        </w:rPr>
        <w:t>For</w:t>
      </w:r>
      <w:proofErr w:type="gramEnd"/>
      <w:r w:rsidRPr="00064C98">
        <w:rPr>
          <w:rFonts w:ascii="Arial" w:hAnsi="Arial" w:cs="Arial"/>
          <w:color w:val="auto"/>
          <w:sz w:val="22"/>
          <w:szCs w:val="22"/>
        </w:rPr>
        <w:t xml:space="preserve"> what reasons may a</w:t>
      </w:r>
      <w:r w:rsidRPr="00064C98">
        <w:rPr>
          <w:rFonts w:ascii="Arial" w:hAnsi="Arial" w:cs="Arial"/>
          <w:color w:val="auto"/>
          <w:sz w:val="22"/>
          <w:szCs w:val="22"/>
          <w:u w:val="single"/>
        </w:rPr>
        <w:t>n</w:t>
      </w:r>
      <w:r w:rsidRPr="00064C98">
        <w:rPr>
          <w:rFonts w:ascii="Arial" w:hAnsi="Arial" w:cs="Arial"/>
          <w:color w:val="auto"/>
          <w:sz w:val="22"/>
          <w:szCs w:val="22"/>
        </w:rPr>
        <w:t xml:space="preserve">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employer make nonpermanent appointments?</w:t>
      </w:r>
    </w:p>
    <w:p w14:paraId="50AE5C76" w14:textId="77777777" w:rsidR="00022B0F" w:rsidRDefault="00022B0F" w:rsidP="00022B0F">
      <w:pPr>
        <w:rPr>
          <w:rFonts w:ascii="Arial" w:hAnsi="Arial" w:cs="Arial"/>
          <w:sz w:val="22"/>
          <w:szCs w:val="22"/>
        </w:rPr>
      </w:pPr>
    </w:p>
    <w:p w14:paraId="244204E9" w14:textId="178E7F17" w:rsidR="00064C98" w:rsidRPr="00064C98" w:rsidRDefault="00064C98" w:rsidP="00022B0F">
      <w:pPr>
        <w:rPr>
          <w:rFonts w:ascii="Arial" w:hAnsi="Arial" w:cs="Arial"/>
          <w:sz w:val="22"/>
          <w:szCs w:val="22"/>
        </w:rPr>
      </w:pPr>
      <w:proofErr w:type="gramStart"/>
      <w:r w:rsidRPr="00064C98">
        <w:rPr>
          <w:rFonts w:ascii="Arial" w:hAnsi="Arial" w:cs="Arial"/>
          <w:sz w:val="22"/>
          <w:szCs w:val="22"/>
        </w:rPr>
        <w:t>A</w:t>
      </w:r>
      <w:r w:rsidRPr="00064C98">
        <w:rPr>
          <w:rFonts w:ascii="Arial" w:hAnsi="Arial" w:cs="Arial"/>
          <w:sz w:val="22"/>
          <w:szCs w:val="22"/>
          <w:u w:val="single"/>
        </w:rPr>
        <w:t>n</w:t>
      </w:r>
      <w:proofErr w:type="gramEnd"/>
      <w:r w:rsidRPr="00064C98">
        <w:rPr>
          <w:rFonts w:ascii="Arial" w:hAnsi="Arial" w:cs="Arial"/>
          <w:sz w:val="22"/>
          <w:szCs w:val="22"/>
        </w:rPr>
        <w:t xml:space="preserve"> </w:t>
      </w:r>
      <w:r w:rsidRPr="00064C98">
        <w:rPr>
          <w:rFonts w:ascii="Arial" w:hAnsi="Arial" w:cs="Arial"/>
          <w:strike/>
          <w:sz w:val="22"/>
          <w:szCs w:val="22"/>
        </w:rPr>
        <w:t>general government</w:t>
      </w:r>
      <w:r w:rsidRPr="00064C98">
        <w:rPr>
          <w:rFonts w:ascii="Arial" w:hAnsi="Arial" w:cs="Arial"/>
          <w:sz w:val="22"/>
          <w:szCs w:val="22"/>
        </w:rPr>
        <w:t xml:space="preserve"> employer may fill a position with a nonpermanent appointment when any of the following conditions exist:</w:t>
      </w:r>
    </w:p>
    <w:p w14:paraId="13C320B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lastRenderedPageBreak/>
        <w:t>(1) A permanent employee is absent from the position;</w:t>
      </w:r>
    </w:p>
    <w:p w14:paraId="3FCB87B7"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The </w:t>
      </w:r>
      <w:r w:rsidRPr="00064C98">
        <w:rPr>
          <w:rFonts w:ascii="Arial" w:hAnsi="Arial" w:cs="Arial"/>
          <w:strike/>
          <w:sz w:val="22"/>
          <w:szCs w:val="22"/>
          <w:u w:val="single"/>
        </w:rPr>
        <w:t xml:space="preserve">agency </w:t>
      </w:r>
      <w:r w:rsidRPr="00064C98">
        <w:rPr>
          <w:rFonts w:ascii="Arial" w:hAnsi="Arial" w:cs="Arial"/>
          <w:sz w:val="22"/>
          <w:szCs w:val="22"/>
          <w:u w:val="single"/>
        </w:rPr>
        <w:t xml:space="preserve">employer </w:t>
      </w:r>
      <w:r w:rsidRPr="00064C98">
        <w:rPr>
          <w:rFonts w:ascii="Arial" w:hAnsi="Arial" w:cs="Arial"/>
          <w:sz w:val="22"/>
          <w:szCs w:val="22"/>
        </w:rPr>
        <w:t>is recruiting to fill a vacant position with a permanent appointment;</w:t>
      </w:r>
    </w:p>
    <w:p w14:paraId="7E2252E4"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(3) The </w:t>
      </w:r>
      <w:r w:rsidRPr="00064C98">
        <w:rPr>
          <w:rFonts w:ascii="Arial" w:hAnsi="Arial" w:cs="Arial"/>
          <w:strike/>
          <w:sz w:val="22"/>
          <w:szCs w:val="22"/>
          <w:u w:val="single"/>
        </w:rPr>
        <w:t xml:space="preserve">agency </w:t>
      </w:r>
      <w:r w:rsidRPr="00064C98">
        <w:rPr>
          <w:rFonts w:ascii="Arial" w:hAnsi="Arial" w:cs="Arial"/>
          <w:sz w:val="22"/>
          <w:szCs w:val="22"/>
          <w:u w:val="single"/>
        </w:rPr>
        <w:t xml:space="preserve">employer </w:t>
      </w:r>
      <w:r w:rsidRPr="00064C98">
        <w:rPr>
          <w:rFonts w:ascii="Arial" w:hAnsi="Arial" w:cs="Arial"/>
          <w:sz w:val="22"/>
          <w:szCs w:val="22"/>
        </w:rPr>
        <w:t>needs to address a short-term immediate workload peak or other short-term needs;</w:t>
      </w:r>
    </w:p>
    <w:p w14:paraId="05D2E5C0"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(4) The </w:t>
      </w:r>
      <w:r w:rsidRPr="00064C98">
        <w:rPr>
          <w:rFonts w:ascii="Arial" w:hAnsi="Arial" w:cs="Arial"/>
          <w:strike/>
          <w:sz w:val="22"/>
          <w:szCs w:val="22"/>
          <w:u w:val="single"/>
        </w:rPr>
        <w:t xml:space="preserve">agency </w:t>
      </w:r>
      <w:r w:rsidRPr="00064C98">
        <w:rPr>
          <w:rFonts w:ascii="Arial" w:hAnsi="Arial" w:cs="Arial"/>
          <w:sz w:val="22"/>
          <w:szCs w:val="22"/>
          <w:u w:val="single"/>
        </w:rPr>
        <w:t xml:space="preserve">employer </w:t>
      </w:r>
      <w:r w:rsidRPr="00064C98">
        <w:rPr>
          <w:rFonts w:ascii="Arial" w:hAnsi="Arial" w:cs="Arial"/>
          <w:sz w:val="22"/>
          <w:szCs w:val="22"/>
        </w:rPr>
        <w:t>is not filling a position with a permanent appointment due to the impending or actual layoff of a permanent employee(s); or</w:t>
      </w:r>
    </w:p>
    <w:p w14:paraId="06C4A00A"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(5) The nature of the work is sporadic and does not fit a particular pattern.</w:t>
      </w:r>
    </w:p>
    <w:p w14:paraId="403C5655" w14:textId="77777777" w:rsidR="00064C98" w:rsidRPr="00064C98" w:rsidRDefault="00064C98" w:rsidP="00064C98">
      <w:pPr>
        <w:rPr>
          <w:rFonts w:ascii="Arial" w:hAnsi="Arial" w:cs="Arial"/>
          <w:sz w:val="22"/>
          <w:szCs w:val="22"/>
        </w:rPr>
      </w:pPr>
    </w:p>
    <w:p w14:paraId="65C8C548"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62454328" w14:textId="77777777" w:rsidR="00064C98" w:rsidRPr="00064C98" w:rsidRDefault="00064C98" w:rsidP="00064C98">
      <w:pPr>
        <w:pStyle w:val="Heading3"/>
        <w:spacing w:before="0"/>
        <w:rPr>
          <w:rFonts w:ascii="Arial" w:hAnsi="Arial" w:cs="Arial"/>
          <w:b w:val="0"/>
          <w:color w:val="auto"/>
          <w:sz w:val="22"/>
          <w:szCs w:val="22"/>
          <w:u w:val="single"/>
        </w:rPr>
      </w:pPr>
    </w:p>
    <w:p w14:paraId="162E33DE" w14:textId="77777777" w:rsidR="00064C98" w:rsidRPr="00064C98" w:rsidRDefault="00064C98" w:rsidP="00064C98">
      <w:pPr>
        <w:pStyle w:val="Heading3"/>
        <w:spacing w:before="0"/>
        <w:rPr>
          <w:rFonts w:ascii="Arial" w:hAnsi="Arial" w:cs="Arial"/>
          <w:b w:val="0"/>
          <w:bCs w:val="0"/>
          <w:color w:val="auto"/>
          <w:sz w:val="22"/>
          <w:szCs w:val="22"/>
        </w:rPr>
      </w:pPr>
      <w:r w:rsidRPr="00064C98">
        <w:rPr>
          <w:rFonts w:ascii="Arial" w:hAnsi="Arial" w:cs="Arial"/>
          <w:color w:val="auto"/>
          <w:sz w:val="22"/>
          <w:szCs w:val="22"/>
        </w:rPr>
        <w:t>WAC 357-19-365</w:t>
      </w:r>
      <w:r w:rsidRPr="00064C98">
        <w:rPr>
          <w:rFonts w:ascii="Arial" w:hAnsi="Arial" w:cs="Arial"/>
          <w:b w:val="0"/>
          <w:bCs w:val="0"/>
          <w:color w:val="auto"/>
          <w:sz w:val="22"/>
          <w:szCs w:val="22"/>
        </w:rPr>
        <w:t xml:space="preserve"> </w:t>
      </w:r>
      <w:r w:rsidRPr="00064C98">
        <w:rPr>
          <w:rFonts w:ascii="Arial" w:hAnsi="Arial" w:cs="Arial"/>
          <w:color w:val="auto"/>
          <w:sz w:val="22"/>
          <w:szCs w:val="22"/>
        </w:rPr>
        <w:t xml:space="preserve">When is it inappropriate for </w:t>
      </w:r>
      <w:proofErr w:type="gramStart"/>
      <w:r w:rsidRPr="00064C98">
        <w:rPr>
          <w:rFonts w:ascii="Arial" w:hAnsi="Arial" w:cs="Arial"/>
          <w:color w:val="auto"/>
          <w:sz w:val="22"/>
          <w:szCs w:val="22"/>
        </w:rPr>
        <w:t>a</w:t>
      </w:r>
      <w:r w:rsidRPr="00064C98">
        <w:rPr>
          <w:rFonts w:ascii="Arial" w:hAnsi="Arial" w:cs="Arial"/>
          <w:color w:val="auto"/>
          <w:sz w:val="22"/>
          <w:szCs w:val="22"/>
          <w:u w:val="single"/>
        </w:rPr>
        <w:t>n</w:t>
      </w:r>
      <w:proofErr w:type="gramEnd"/>
      <w:r w:rsidRPr="00064C98">
        <w:rPr>
          <w:rFonts w:ascii="Arial" w:hAnsi="Arial" w:cs="Arial"/>
          <w:color w:val="auto"/>
          <w:sz w:val="22"/>
          <w:szCs w:val="22"/>
        </w:rPr>
        <w:t xml:space="preserve">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employer to fill a position with a nonpermanent appointment to address a short-term immediate workload peak or other short term needs?</w:t>
      </w:r>
    </w:p>
    <w:p w14:paraId="212E778B" w14:textId="77777777" w:rsidR="00022B0F" w:rsidRDefault="00022B0F" w:rsidP="00064C98">
      <w:pPr>
        <w:rPr>
          <w:rFonts w:ascii="Arial" w:hAnsi="Arial" w:cs="Arial"/>
          <w:strike/>
          <w:sz w:val="22"/>
          <w:szCs w:val="22"/>
        </w:rPr>
      </w:pPr>
    </w:p>
    <w:p w14:paraId="0588996E" w14:textId="4E229EAF" w:rsidR="00064C98" w:rsidRPr="00064C98" w:rsidRDefault="00064C98" w:rsidP="00064C98">
      <w:pPr>
        <w:rPr>
          <w:rFonts w:ascii="Arial" w:hAnsi="Arial" w:cs="Arial"/>
          <w:sz w:val="22"/>
          <w:szCs w:val="22"/>
        </w:rPr>
      </w:pPr>
      <w:r w:rsidRPr="00064C98">
        <w:rPr>
          <w:rFonts w:ascii="Arial" w:hAnsi="Arial" w:cs="Arial"/>
          <w:strike/>
          <w:sz w:val="22"/>
          <w:szCs w:val="22"/>
        </w:rPr>
        <w:t xml:space="preserve">General </w:t>
      </w:r>
      <w:proofErr w:type="gramStart"/>
      <w:r w:rsidRPr="00064C98">
        <w:rPr>
          <w:rFonts w:ascii="Arial" w:hAnsi="Arial" w:cs="Arial"/>
          <w:strike/>
          <w:sz w:val="22"/>
          <w:szCs w:val="22"/>
        </w:rPr>
        <w:t xml:space="preserve">government  </w:t>
      </w:r>
      <w:proofErr w:type="spellStart"/>
      <w:r w:rsidRPr="00064C98">
        <w:rPr>
          <w:rFonts w:ascii="Arial" w:hAnsi="Arial" w:cs="Arial"/>
          <w:sz w:val="22"/>
          <w:szCs w:val="22"/>
        </w:rPr>
        <w:t>e</w:t>
      </w:r>
      <w:r w:rsidRPr="00064C98">
        <w:rPr>
          <w:rFonts w:ascii="Arial" w:hAnsi="Arial" w:cs="Arial"/>
          <w:sz w:val="22"/>
          <w:szCs w:val="22"/>
          <w:u w:val="single"/>
        </w:rPr>
        <w:t>E</w:t>
      </w:r>
      <w:r w:rsidRPr="00064C98">
        <w:rPr>
          <w:rFonts w:ascii="Arial" w:hAnsi="Arial" w:cs="Arial"/>
          <w:sz w:val="22"/>
          <w:szCs w:val="22"/>
        </w:rPr>
        <w:t>mployers</w:t>
      </w:r>
      <w:proofErr w:type="spellEnd"/>
      <w:proofErr w:type="gramEnd"/>
      <w:r w:rsidRPr="00064C98">
        <w:rPr>
          <w:rFonts w:ascii="Arial" w:hAnsi="Arial" w:cs="Arial"/>
          <w:sz w:val="22"/>
          <w:szCs w:val="22"/>
        </w:rPr>
        <w:t xml:space="preserve"> </w:t>
      </w:r>
      <w:r w:rsidRPr="00064C98">
        <w:rPr>
          <w:rFonts w:ascii="Arial" w:hAnsi="Arial" w:cs="Arial"/>
          <w:b/>
          <w:bCs/>
          <w:sz w:val="22"/>
          <w:szCs w:val="22"/>
        </w:rPr>
        <w:t>must not</w:t>
      </w:r>
      <w:r w:rsidRPr="00064C98">
        <w:rPr>
          <w:rFonts w:ascii="Arial" w:hAnsi="Arial" w:cs="Arial"/>
          <w:sz w:val="22"/>
          <w:szCs w:val="22"/>
        </w:rPr>
        <w:t xml:space="preserve"> fill a position with a nonpermanent appointment under the provisions of WAC </w:t>
      </w:r>
      <w:hyperlink r:id="rId47" w:history="1">
        <w:r w:rsidRPr="00064C98">
          <w:rPr>
            <w:rFonts w:ascii="Arial" w:hAnsi="Arial" w:cs="Arial"/>
            <w:sz w:val="22"/>
            <w:szCs w:val="22"/>
            <w:u w:val="single"/>
          </w:rPr>
          <w:t>357-19-360</w:t>
        </w:r>
      </w:hyperlink>
      <w:r w:rsidRPr="00064C98">
        <w:rPr>
          <w:rFonts w:ascii="Arial" w:hAnsi="Arial" w:cs="Arial"/>
          <w:sz w:val="22"/>
          <w:szCs w:val="22"/>
        </w:rPr>
        <w:t>(3) when the work of the position is scheduled, ongoing and permanent in nature. If at any time during a nonpermanent appointment, a short-term workload peak or other short term need becomes ongoing and permanent in nature, the employer must take action to fill the position on a permanent basis.</w:t>
      </w:r>
    </w:p>
    <w:p w14:paraId="6472B2E7" w14:textId="77777777" w:rsidR="00064C98" w:rsidRPr="00064C98" w:rsidRDefault="00064C98" w:rsidP="00064C98">
      <w:pPr>
        <w:pStyle w:val="Heading3"/>
        <w:spacing w:before="0"/>
        <w:rPr>
          <w:rFonts w:ascii="Arial" w:hAnsi="Arial" w:cs="Arial"/>
          <w:b w:val="0"/>
          <w:color w:val="auto"/>
          <w:sz w:val="22"/>
          <w:szCs w:val="22"/>
          <w:u w:val="single"/>
        </w:rPr>
      </w:pPr>
    </w:p>
    <w:p w14:paraId="1F462CA0"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622AAE65" w14:textId="77777777" w:rsidR="00064C98" w:rsidRPr="00064C98" w:rsidRDefault="00064C98" w:rsidP="00064C98">
      <w:pPr>
        <w:pStyle w:val="Heading3"/>
        <w:spacing w:before="0"/>
        <w:rPr>
          <w:rFonts w:ascii="Arial" w:hAnsi="Arial" w:cs="Arial"/>
          <w:b w:val="0"/>
          <w:color w:val="auto"/>
          <w:sz w:val="22"/>
          <w:szCs w:val="22"/>
          <w:u w:val="single"/>
        </w:rPr>
      </w:pPr>
    </w:p>
    <w:p w14:paraId="1A714258"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357-19-370 How long can a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appointment last?</w:t>
      </w:r>
    </w:p>
    <w:p w14:paraId="71C0DCD5" w14:textId="77777777" w:rsidR="00022B0F" w:rsidRDefault="00022B0F" w:rsidP="00022B0F">
      <w:pPr>
        <w:rPr>
          <w:rFonts w:ascii="Arial" w:hAnsi="Arial" w:cs="Arial"/>
          <w:sz w:val="22"/>
          <w:szCs w:val="22"/>
        </w:rPr>
      </w:pPr>
    </w:p>
    <w:p w14:paraId="060AE1CB" w14:textId="616EC678" w:rsidR="00064C98" w:rsidRPr="00064C98" w:rsidRDefault="00064C98" w:rsidP="00022B0F">
      <w:pPr>
        <w:rPr>
          <w:rFonts w:ascii="Arial" w:hAnsi="Arial" w:cs="Arial"/>
          <w:sz w:val="22"/>
          <w:szCs w:val="22"/>
        </w:rPr>
      </w:pPr>
      <w:r w:rsidRPr="00064C98">
        <w:rPr>
          <w:rFonts w:ascii="Arial" w:hAnsi="Arial" w:cs="Arial"/>
          <w:sz w:val="22"/>
          <w:szCs w:val="22"/>
        </w:rPr>
        <w:t xml:space="preserve">(1) </w:t>
      </w:r>
      <w:r w:rsidRPr="00064C98">
        <w:rPr>
          <w:rFonts w:ascii="Arial" w:hAnsi="Arial" w:cs="Arial"/>
          <w:strike/>
          <w:sz w:val="22"/>
          <w:szCs w:val="22"/>
          <w:u w:val="single"/>
        </w:rPr>
        <w:t xml:space="preserve">Agencies </w:t>
      </w:r>
      <w:r w:rsidRPr="00064C98">
        <w:rPr>
          <w:rFonts w:ascii="Arial" w:hAnsi="Arial" w:cs="Arial"/>
          <w:sz w:val="22"/>
          <w:szCs w:val="22"/>
          <w:u w:val="single"/>
        </w:rPr>
        <w:t xml:space="preserve">Employers </w:t>
      </w:r>
      <w:r w:rsidRPr="00064C98">
        <w:rPr>
          <w:rFonts w:ascii="Arial" w:hAnsi="Arial" w:cs="Arial"/>
          <w:sz w:val="22"/>
          <w:szCs w:val="22"/>
        </w:rPr>
        <w:t>are encouraged to limit the duration of a nonpermanent appointment to twelve months from the appointment date.</w:t>
      </w:r>
    </w:p>
    <w:p w14:paraId="6A84E895"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A nonpermanent appointment for a reason specified in WAC </w:t>
      </w:r>
      <w:hyperlink r:id="rId48" w:history="1">
        <w:r w:rsidRPr="00064C98">
          <w:rPr>
            <w:rFonts w:ascii="Arial" w:hAnsi="Arial" w:cs="Arial"/>
            <w:sz w:val="22"/>
            <w:szCs w:val="22"/>
            <w:u w:val="single"/>
          </w:rPr>
          <w:t>357-19-360</w:t>
        </w:r>
      </w:hyperlink>
      <w:r w:rsidRPr="00064C98">
        <w:rPr>
          <w:rFonts w:ascii="Arial" w:hAnsi="Arial" w:cs="Arial"/>
          <w:sz w:val="22"/>
          <w:szCs w:val="22"/>
        </w:rPr>
        <w:t xml:space="preserve"> (1) through (4) </w:t>
      </w:r>
      <w:r w:rsidRPr="00064C98">
        <w:rPr>
          <w:rFonts w:ascii="Arial" w:hAnsi="Arial" w:cs="Arial"/>
          <w:b/>
          <w:bCs/>
          <w:sz w:val="22"/>
          <w:szCs w:val="22"/>
        </w:rPr>
        <w:t>must not</w:t>
      </w:r>
      <w:r w:rsidRPr="00064C98">
        <w:rPr>
          <w:rFonts w:ascii="Arial" w:hAnsi="Arial" w:cs="Arial"/>
          <w:sz w:val="22"/>
          <w:szCs w:val="22"/>
        </w:rPr>
        <w:t xml:space="preserve"> exceed twenty-four months unless the director has approved an extension of the appointment due to the continued absence of a permanent employee. An employer may choose to not count time spent in formal training programs towards the twenty-four month limit. On-the-job training is not considered a formal training program for purposes of this rule.</w:t>
      </w:r>
    </w:p>
    <w:p w14:paraId="07DB930B" w14:textId="77777777" w:rsidR="00064C98" w:rsidRPr="00064C98" w:rsidRDefault="00064C98" w:rsidP="00064C98">
      <w:pPr>
        <w:pStyle w:val="Heading3"/>
        <w:spacing w:before="0"/>
        <w:rPr>
          <w:rFonts w:ascii="Arial" w:hAnsi="Arial" w:cs="Arial"/>
          <w:b w:val="0"/>
          <w:color w:val="auto"/>
          <w:sz w:val="22"/>
          <w:szCs w:val="22"/>
          <w:u w:val="single"/>
        </w:rPr>
      </w:pPr>
    </w:p>
    <w:p w14:paraId="0DA4CA97"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05FCC22C" w14:textId="77777777" w:rsidR="00064C98" w:rsidRPr="00064C98" w:rsidRDefault="00064C98" w:rsidP="00064C98">
      <w:pPr>
        <w:pStyle w:val="Heading3"/>
        <w:spacing w:before="0"/>
        <w:rPr>
          <w:rFonts w:ascii="Arial" w:hAnsi="Arial" w:cs="Arial"/>
          <w:b w:val="0"/>
          <w:color w:val="auto"/>
          <w:sz w:val="22"/>
          <w:szCs w:val="22"/>
          <w:u w:val="single"/>
        </w:rPr>
      </w:pPr>
    </w:p>
    <w:p w14:paraId="4CB1D81E"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357-19-373 What notification must </w:t>
      </w:r>
      <w:proofErr w:type="gramStart"/>
      <w:r w:rsidRPr="00064C98">
        <w:rPr>
          <w:rFonts w:ascii="Arial" w:hAnsi="Arial" w:cs="Arial"/>
          <w:color w:val="auto"/>
          <w:sz w:val="22"/>
          <w:szCs w:val="22"/>
        </w:rPr>
        <w:t>an</w:t>
      </w:r>
      <w:proofErr w:type="gramEnd"/>
      <w:r w:rsidRPr="00064C98">
        <w:rPr>
          <w:rFonts w:ascii="Arial" w:hAnsi="Arial" w:cs="Arial"/>
          <w:color w:val="auto"/>
          <w:sz w:val="22"/>
          <w:szCs w:val="22"/>
        </w:rPr>
        <w:t xml:space="preserve">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employer give a nonpermanent appointee?</w:t>
      </w:r>
    </w:p>
    <w:p w14:paraId="605787E9" w14:textId="77777777" w:rsidR="00022B0F" w:rsidRDefault="00022B0F" w:rsidP="00022B0F">
      <w:pPr>
        <w:rPr>
          <w:rFonts w:ascii="Arial" w:hAnsi="Arial" w:cs="Arial"/>
          <w:sz w:val="22"/>
          <w:szCs w:val="22"/>
        </w:rPr>
      </w:pPr>
    </w:p>
    <w:p w14:paraId="5DBCD156" w14:textId="549B2E99" w:rsidR="00064C98" w:rsidRPr="00064C98" w:rsidRDefault="00064C98" w:rsidP="00022B0F">
      <w:pPr>
        <w:rPr>
          <w:rFonts w:ascii="Arial" w:hAnsi="Arial" w:cs="Arial"/>
          <w:sz w:val="22"/>
          <w:szCs w:val="22"/>
        </w:rPr>
      </w:pPr>
      <w:r w:rsidRPr="00064C98">
        <w:rPr>
          <w:rFonts w:ascii="Arial" w:hAnsi="Arial" w:cs="Arial"/>
          <w:sz w:val="22"/>
          <w:szCs w:val="22"/>
        </w:rPr>
        <w:t>(1) Upon appointment, all nonpermanent appointees must be notified in writing of the conditions of their appointment and/or upon any subsequent change to the conditions of their appointment.</w:t>
      </w:r>
    </w:p>
    <w:p w14:paraId="2FB7B34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(2) The written notification must at a minimum contain the following information:</w:t>
      </w:r>
    </w:p>
    <w:p w14:paraId="35664965"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(a) The reason for the nonpermanent appointment in accordance with WAC </w:t>
      </w:r>
      <w:hyperlink r:id="rId49" w:history="1">
        <w:r w:rsidRPr="00064C98">
          <w:rPr>
            <w:rFonts w:ascii="Arial" w:hAnsi="Arial" w:cs="Arial"/>
            <w:sz w:val="22"/>
            <w:szCs w:val="22"/>
            <w:u w:val="single"/>
          </w:rPr>
          <w:t>357-19-360</w:t>
        </w:r>
      </w:hyperlink>
      <w:r w:rsidRPr="00064C98">
        <w:rPr>
          <w:rFonts w:ascii="Arial" w:hAnsi="Arial" w:cs="Arial"/>
          <w:sz w:val="22"/>
          <w:szCs w:val="22"/>
        </w:rPr>
        <w:t>;</w:t>
      </w:r>
    </w:p>
    <w:p w14:paraId="301A78EA"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(b) The hours of work and the base salary;</w:t>
      </w:r>
    </w:p>
    <w:p w14:paraId="029D7EF4"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(c) The anticipated short-term duration or sporadic nature of the appointment;</w:t>
      </w:r>
    </w:p>
    <w:p w14:paraId="6F1C173A"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(d) A statement regarding the receipt or </w:t>
      </w:r>
      <w:proofErr w:type="spellStart"/>
      <w:r w:rsidRPr="00064C98">
        <w:rPr>
          <w:rFonts w:ascii="Arial" w:hAnsi="Arial" w:cs="Arial"/>
          <w:sz w:val="22"/>
          <w:szCs w:val="22"/>
        </w:rPr>
        <w:t>nonreceipt</w:t>
      </w:r>
      <w:proofErr w:type="spellEnd"/>
      <w:r w:rsidRPr="00064C98">
        <w:rPr>
          <w:rFonts w:ascii="Arial" w:hAnsi="Arial" w:cs="Arial"/>
          <w:sz w:val="22"/>
          <w:szCs w:val="22"/>
        </w:rPr>
        <w:t xml:space="preserve"> of benefits. If the employee is to receive benefits, the statement shall include which benefits are to be received; and</w:t>
      </w:r>
    </w:p>
    <w:p w14:paraId="23B3FBF1"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(e) The right to request remedial action as provided in WAC </w:t>
      </w:r>
      <w:hyperlink r:id="rId50" w:history="1">
        <w:r w:rsidRPr="00064C98">
          <w:rPr>
            <w:rFonts w:ascii="Arial" w:hAnsi="Arial" w:cs="Arial"/>
            <w:sz w:val="22"/>
            <w:szCs w:val="22"/>
            <w:u w:val="single"/>
          </w:rPr>
          <w:t>357-19-425</w:t>
        </w:r>
      </w:hyperlink>
      <w:r w:rsidRPr="00064C98">
        <w:rPr>
          <w:rFonts w:ascii="Arial" w:hAnsi="Arial" w:cs="Arial"/>
          <w:sz w:val="22"/>
          <w:szCs w:val="22"/>
        </w:rPr>
        <w:t>.</w:t>
      </w:r>
    </w:p>
    <w:p w14:paraId="5C7B507B" w14:textId="77777777" w:rsidR="00064C98" w:rsidRDefault="00064C98" w:rsidP="00064C98">
      <w:pPr>
        <w:rPr>
          <w:rFonts w:ascii="Arial" w:hAnsi="Arial" w:cs="Arial"/>
          <w:sz w:val="22"/>
          <w:szCs w:val="22"/>
        </w:rPr>
      </w:pPr>
    </w:p>
    <w:p w14:paraId="734F923B" w14:textId="77777777" w:rsidR="00022B0F" w:rsidRDefault="00022B0F">
      <w:pPr>
        <w:spacing w:after="200" w:line="276" w:lineRule="auto"/>
        <w:rPr>
          <w:rFonts w:ascii="Arial" w:hAnsi="Arial" w:cs="Arial"/>
          <w:sz w:val="22"/>
          <w:szCs w:val="22"/>
          <w:u w:val="single"/>
        </w:rPr>
      </w:pPr>
      <w:r>
        <w:rPr>
          <w:rFonts w:ascii="Arial" w:hAnsi="Arial" w:cs="Arial"/>
          <w:sz w:val="22"/>
          <w:szCs w:val="22"/>
          <w:u w:val="single"/>
        </w:rPr>
        <w:br w:type="page"/>
      </w:r>
    </w:p>
    <w:p w14:paraId="6CF829F7" w14:textId="48F17CDA" w:rsidR="00064C98" w:rsidRPr="00064C98" w:rsidRDefault="00064C98" w:rsidP="00064C98">
      <w:pPr>
        <w:rPr>
          <w:rFonts w:ascii="Arial" w:hAnsi="Arial" w:cs="Arial"/>
          <w:b/>
          <w:sz w:val="22"/>
          <w:szCs w:val="22"/>
          <w:u w:val="single"/>
        </w:rPr>
      </w:pPr>
      <w:r w:rsidRPr="00064C98">
        <w:rPr>
          <w:rFonts w:ascii="Arial" w:hAnsi="Arial" w:cs="Arial"/>
          <w:sz w:val="22"/>
          <w:szCs w:val="22"/>
          <w:u w:val="single"/>
        </w:rPr>
        <w:lastRenderedPageBreak/>
        <w:t>AMENDATORY SECTION</w:t>
      </w:r>
    </w:p>
    <w:p w14:paraId="076ED934" w14:textId="77777777" w:rsidR="00064C98" w:rsidRPr="00064C98" w:rsidRDefault="00064C98" w:rsidP="00064C98">
      <w:pPr>
        <w:pStyle w:val="Heading3"/>
        <w:spacing w:before="0"/>
        <w:rPr>
          <w:rFonts w:ascii="Arial" w:hAnsi="Arial" w:cs="Arial"/>
          <w:b w:val="0"/>
          <w:color w:val="auto"/>
          <w:sz w:val="22"/>
          <w:szCs w:val="22"/>
          <w:u w:val="single"/>
        </w:rPr>
      </w:pPr>
    </w:p>
    <w:p w14:paraId="428F45BB"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357-19-375 Can an employee receive consecutive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appointments?</w:t>
      </w:r>
    </w:p>
    <w:p w14:paraId="4F8CACF6" w14:textId="77777777" w:rsidR="00022B0F" w:rsidRDefault="00022B0F" w:rsidP="00022B0F">
      <w:pPr>
        <w:rPr>
          <w:rFonts w:ascii="Arial" w:hAnsi="Arial" w:cs="Arial"/>
          <w:sz w:val="22"/>
          <w:szCs w:val="22"/>
        </w:rPr>
      </w:pPr>
    </w:p>
    <w:p w14:paraId="0D72E65C" w14:textId="38592928" w:rsidR="00064C98" w:rsidRPr="00064C98" w:rsidRDefault="00064C98" w:rsidP="00022B0F">
      <w:pPr>
        <w:rPr>
          <w:rFonts w:ascii="Arial" w:hAnsi="Arial" w:cs="Arial"/>
          <w:sz w:val="22"/>
          <w:szCs w:val="22"/>
        </w:rPr>
      </w:pPr>
      <w:r w:rsidRPr="00064C98">
        <w:rPr>
          <w:rFonts w:ascii="Arial" w:hAnsi="Arial" w:cs="Arial"/>
          <w:sz w:val="22"/>
          <w:szCs w:val="22"/>
        </w:rPr>
        <w:t>Individuals may receive consecutive nonpermanent appointments as long as:</w:t>
      </w:r>
    </w:p>
    <w:p w14:paraId="0BFC1F95"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(1) Any subsequent appointment is to a different position; or</w:t>
      </w:r>
    </w:p>
    <w:p w14:paraId="62544788"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(2) The multiple appointments are of a seasonal nature but don't meet the definition of seasonal appointment because each appointment last less than five months in duration during any consecutive twelve-month period.</w:t>
      </w:r>
    </w:p>
    <w:p w14:paraId="56491348" w14:textId="77777777" w:rsidR="00064C98" w:rsidRPr="00064C98" w:rsidRDefault="00064C98" w:rsidP="00064C98">
      <w:pPr>
        <w:pStyle w:val="Heading3"/>
        <w:spacing w:before="0"/>
        <w:rPr>
          <w:rFonts w:ascii="Arial" w:eastAsiaTheme="minorHAnsi" w:hAnsi="Arial" w:cs="Arial"/>
          <w:b w:val="0"/>
          <w:bCs w:val="0"/>
          <w:color w:val="auto"/>
          <w:sz w:val="22"/>
          <w:szCs w:val="22"/>
        </w:rPr>
      </w:pPr>
    </w:p>
    <w:p w14:paraId="4C759A0E"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56A3F050" w14:textId="77777777" w:rsidR="00064C98" w:rsidRPr="00064C98" w:rsidRDefault="00064C98" w:rsidP="00064C98">
      <w:pPr>
        <w:pStyle w:val="Heading3"/>
        <w:spacing w:before="0"/>
        <w:rPr>
          <w:rFonts w:ascii="Arial" w:hAnsi="Arial" w:cs="Arial"/>
          <w:b w:val="0"/>
          <w:color w:val="auto"/>
          <w:sz w:val="22"/>
          <w:szCs w:val="22"/>
          <w:u w:val="single"/>
        </w:rPr>
      </w:pPr>
    </w:p>
    <w:p w14:paraId="6A47161C" w14:textId="77777777" w:rsidR="00064C98" w:rsidRPr="00064C98" w:rsidRDefault="00064C98" w:rsidP="00064C98">
      <w:pPr>
        <w:pStyle w:val="Heading3"/>
        <w:spacing w:before="0"/>
        <w:rPr>
          <w:rFonts w:ascii="Arial" w:hAnsi="Arial" w:cs="Arial"/>
          <w:b w:val="0"/>
          <w:bCs w:val="0"/>
          <w:color w:val="auto"/>
          <w:sz w:val="22"/>
          <w:szCs w:val="22"/>
        </w:rPr>
      </w:pPr>
      <w:r w:rsidRPr="00064C98">
        <w:rPr>
          <w:rFonts w:ascii="Arial" w:hAnsi="Arial" w:cs="Arial"/>
          <w:color w:val="auto"/>
          <w:sz w:val="22"/>
          <w:szCs w:val="22"/>
        </w:rPr>
        <w:t xml:space="preserve">WAC 357-19-377 What provisions apply to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appointments?</w:t>
      </w:r>
    </w:p>
    <w:p w14:paraId="58400AAF" w14:textId="77777777" w:rsidR="00022B0F" w:rsidRDefault="00022B0F" w:rsidP="00022B0F">
      <w:pPr>
        <w:rPr>
          <w:rFonts w:ascii="Arial" w:hAnsi="Arial" w:cs="Arial"/>
          <w:strike/>
          <w:sz w:val="22"/>
          <w:szCs w:val="22"/>
        </w:rPr>
      </w:pPr>
    </w:p>
    <w:p w14:paraId="44282356" w14:textId="75625411" w:rsidR="00064C98" w:rsidRPr="00064C98" w:rsidRDefault="00064C98" w:rsidP="00022B0F">
      <w:pPr>
        <w:rPr>
          <w:rFonts w:ascii="Arial" w:hAnsi="Arial" w:cs="Arial"/>
          <w:sz w:val="22"/>
          <w:szCs w:val="22"/>
        </w:rPr>
      </w:pPr>
      <w:proofErr w:type="gramStart"/>
      <w:r w:rsidRPr="00064C98">
        <w:rPr>
          <w:rFonts w:ascii="Arial" w:hAnsi="Arial" w:cs="Arial"/>
          <w:strike/>
          <w:sz w:val="22"/>
          <w:szCs w:val="22"/>
        </w:rPr>
        <w:t>general</w:t>
      </w:r>
      <w:proofErr w:type="gramEnd"/>
      <w:r w:rsidRPr="00064C98">
        <w:rPr>
          <w:rFonts w:ascii="Arial" w:hAnsi="Arial" w:cs="Arial"/>
          <w:strike/>
          <w:sz w:val="22"/>
          <w:szCs w:val="22"/>
        </w:rPr>
        <w:t xml:space="preserve"> government </w:t>
      </w:r>
      <w:proofErr w:type="spellStart"/>
      <w:r w:rsidRPr="00064C98">
        <w:rPr>
          <w:rFonts w:ascii="Arial" w:hAnsi="Arial" w:cs="Arial"/>
          <w:strike/>
          <w:sz w:val="22"/>
          <w:szCs w:val="22"/>
        </w:rPr>
        <w:t>n</w:t>
      </w:r>
      <w:r w:rsidRPr="00064C98">
        <w:rPr>
          <w:rFonts w:ascii="Arial" w:hAnsi="Arial" w:cs="Arial"/>
          <w:sz w:val="22"/>
          <w:szCs w:val="22"/>
        </w:rPr>
        <w:t>Nonpermanent</w:t>
      </w:r>
      <w:proofErr w:type="spellEnd"/>
      <w:r w:rsidRPr="00064C98">
        <w:rPr>
          <w:rFonts w:ascii="Arial" w:hAnsi="Arial" w:cs="Arial"/>
          <w:sz w:val="22"/>
          <w:szCs w:val="22"/>
        </w:rPr>
        <w:t xml:space="preserve"> appointments are subject to the following provisions:</w:t>
      </w:r>
    </w:p>
    <w:p w14:paraId="52E07B0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(1) Nonpermanent appointees must meet the competencies and other requirements of the position to which they are appointed.</w:t>
      </w:r>
    </w:p>
    <w:p w14:paraId="08DD6F47"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Nonpermanent appointments may be filled on a noncompetitive basis which means the employer is not required to comply with the rules on recruitment, assessment, and certification as provided in chapter </w:t>
      </w:r>
      <w:hyperlink r:id="rId51" w:history="1">
        <w:r w:rsidRPr="00064C98">
          <w:rPr>
            <w:rFonts w:ascii="Arial" w:hAnsi="Arial" w:cs="Arial"/>
            <w:sz w:val="22"/>
            <w:szCs w:val="22"/>
            <w:u w:val="single"/>
          </w:rPr>
          <w:t>357-16</w:t>
        </w:r>
      </w:hyperlink>
      <w:r w:rsidRPr="00064C98">
        <w:rPr>
          <w:rFonts w:ascii="Arial" w:hAnsi="Arial" w:cs="Arial"/>
          <w:sz w:val="22"/>
          <w:szCs w:val="22"/>
        </w:rPr>
        <w:t xml:space="preserve"> WAC.</w:t>
      </w:r>
    </w:p>
    <w:p w14:paraId="3202AA32"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(3) Nonpermanent appointments may be filled using the competitive process specified in chapter </w:t>
      </w:r>
      <w:hyperlink r:id="rId52" w:history="1">
        <w:r w:rsidRPr="00064C98">
          <w:rPr>
            <w:rFonts w:ascii="Arial" w:hAnsi="Arial" w:cs="Arial"/>
            <w:sz w:val="22"/>
            <w:szCs w:val="22"/>
            <w:u w:val="single"/>
          </w:rPr>
          <w:t>357-16</w:t>
        </w:r>
      </w:hyperlink>
      <w:r w:rsidRPr="00064C98">
        <w:rPr>
          <w:rFonts w:ascii="Arial" w:hAnsi="Arial" w:cs="Arial"/>
          <w:sz w:val="22"/>
          <w:szCs w:val="22"/>
        </w:rPr>
        <w:t xml:space="preserve"> WAC as long as the eligible applicant indicates a willingness to accept a nonpermanent appointment.</w:t>
      </w:r>
    </w:p>
    <w:p w14:paraId="2B480ADF"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(4) </w:t>
      </w:r>
      <w:r w:rsidRPr="00064C98">
        <w:rPr>
          <w:rFonts w:ascii="Arial" w:hAnsi="Arial" w:cs="Arial"/>
          <w:strike/>
          <w:sz w:val="22"/>
          <w:szCs w:val="22"/>
          <w:u w:val="single"/>
        </w:rPr>
        <w:t xml:space="preserve">Agencies </w:t>
      </w:r>
      <w:r w:rsidRPr="00064C98">
        <w:rPr>
          <w:rFonts w:ascii="Arial" w:hAnsi="Arial" w:cs="Arial"/>
          <w:sz w:val="22"/>
          <w:szCs w:val="22"/>
          <w:u w:val="single"/>
        </w:rPr>
        <w:t xml:space="preserve">Employers </w:t>
      </w:r>
      <w:r w:rsidRPr="00064C98">
        <w:rPr>
          <w:rFonts w:ascii="Arial" w:hAnsi="Arial" w:cs="Arial"/>
          <w:sz w:val="22"/>
          <w:szCs w:val="22"/>
        </w:rPr>
        <w:t xml:space="preserve">may </w:t>
      </w:r>
      <w:proofErr w:type="spellStart"/>
      <w:r w:rsidRPr="00064C98">
        <w:rPr>
          <w:rFonts w:ascii="Arial" w:hAnsi="Arial" w:cs="Arial"/>
          <w:sz w:val="22"/>
          <w:szCs w:val="22"/>
        </w:rPr>
        <w:t>underfill</w:t>
      </w:r>
      <w:proofErr w:type="spellEnd"/>
      <w:r w:rsidRPr="00064C98">
        <w:rPr>
          <w:rFonts w:ascii="Arial" w:hAnsi="Arial" w:cs="Arial"/>
          <w:sz w:val="22"/>
          <w:szCs w:val="22"/>
        </w:rPr>
        <w:t xml:space="preserve"> a position with a nonpermanent appointment.</w:t>
      </w:r>
    </w:p>
    <w:p w14:paraId="05D5C42A" w14:textId="77777777" w:rsidR="00064C98" w:rsidRPr="00064C98" w:rsidRDefault="00064C98" w:rsidP="00064C98">
      <w:pPr>
        <w:rPr>
          <w:rFonts w:ascii="Arial" w:hAnsi="Arial" w:cs="Arial"/>
          <w:sz w:val="22"/>
          <w:szCs w:val="22"/>
        </w:rPr>
      </w:pPr>
    </w:p>
    <w:p w14:paraId="1C9ACC6E"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79A152A0" w14:textId="77777777" w:rsidR="00064C98" w:rsidRPr="00064C98" w:rsidRDefault="00064C98" w:rsidP="00064C98">
      <w:pPr>
        <w:pStyle w:val="Heading3"/>
        <w:spacing w:before="0"/>
        <w:rPr>
          <w:rFonts w:ascii="Arial" w:hAnsi="Arial" w:cs="Arial"/>
          <w:b w:val="0"/>
          <w:color w:val="auto"/>
          <w:sz w:val="22"/>
          <w:szCs w:val="22"/>
          <w:u w:val="single"/>
        </w:rPr>
      </w:pPr>
    </w:p>
    <w:p w14:paraId="3CEBCCF2"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WAC 357-19-385 Can a permanent employee accept a nonpermanent appointment?</w:t>
      </w:r>
    </w:p>
    <w:p w14:paraId="3526673A" w14:textId="77777777" w:rsidR="00022B0F" w:rsidRDefault="00022B0F" w:rsidP="00022B0F">
      <w:pPr>
        <w:rPr>
          <w:rFonts w:ascii="Arial" w:hAnsi="Arial" w:cs="Arial"/>
          <w:sz w:val="22"/>
          <w:szCs w:val="22"/>
        </w:rPr>
      </w:pPr>
    </w:p>
    <w:p w14:paraId="3D222D77" w14:textId="273EF414" w:rsidR="00064C98" w:rsidRPr="00064C98" w:rsidRDefault="00064C98" w:rsidP="00022B0F">
      <w:pPr>
        <w:rPr>
          <w:rFonts w:ascii="Arial" w:hAnsi="Arial" w:cs="Arial"/>
          <w:sz w:val="22"/>
          <w:szCs w:val="22"/>
        </w:rPr>
      </w:pPr>
      <w:r w:rsidRPr="00064C98">
        <w:rPr>
          <w:rFonts w:ascii="Arial" w:hAnsi="Arial" w:cs="Arial"/>
          <w:sz w:val="22"/>
          <w:szCs w:val="22"/>
        </w:rPr>
        <w:t xml:space="preserve">A permanent employee may accept a </w:t>
      </w:r>
      <w:r w:rsidRPr="00064C98">
        <w:rPr>
          <w:rFonts w:ascii="Arial" w:hAnsi="Arial" w:cs="Arial"/>
          <w:strike/>
          <w:sz w:val="22"/>
          <w:szCs w:val="22"/>
        </w:rPr>
        <w:t xml:space="preserve">general </w:t>
      </w:r>
      <w:proofErr w:type="gramStart"/>
      <w:r w:rsidRPr="00064C98">
        <w:rPr>
          <w:rFonts w:ascii="Arial" w:hAnsi="Arial" w:cs="Arial"/>
          <w:strike/>
          <w:sz w:val="22"/>
          <w:szCs w:val="22"/>
        </w:rPr>
        <w:t xml:space="preserve">government  </w:t>
      </w:r>
      <w:r w:rsidRPr="00064C98">
        <w:rPr>
          <w:rFonts w:ascii="Arial" w:hAnsi="Arial" w:cs="Arial"/>
          <w:sz w:val="22"/>
          <w:szCs w:val="22"/>
        </w:rPr>
        <w:t>nonpermanent</w:t>
      </w:r>
      <w:proofErr w:type="gramEnd"/>
      <w:r w:rsidRPr="00064C98">
        <w:rPr>
          <w:rFonts w:ascii="Arial" w:hAnsi="Arial" w:cs="Arial"/>
          <w:sz w:val="22"/>
          <w:szCs w:val="22"/>
        </w:rPr>
        <w:t xml:space="preserve"> appointment.</w:t>
      </w:r>
    </w:p>
    <w:p w14:paraId="633707FE" w14:textId="77777777" w:rsidR="00064C98" w:rsidRPr="00064C98" w:rsidRDefault="00064C98" w:rsidP="00064C98">
      <w:pPr>
        <w:rPr>
          <w:rFonts w:ascii="Arial" w:hAnsi="Arial" w:cs="Arial"/>
          <w:sz w:val="22"/>
          <w:szCs w:val="22"/>
        </w:rPr>
      </w:pPr>
    </w:p>
    <w:p w14:paraId="513A8C57"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4E26C31E" w14:textId="77777777" w:rsidR="00064C98" w:rsidRPr="00064C98" w:rsidRDefault="00064C98" w:rsidP="00064C98">
      <w:pPr>
        <w:pStyle w:val="Heading3"/>
        <w:spacing w:before="0"/>
        <w:rPr>
          <w:rFonts w:ascii="Arial" w:hAnsi="Arial" w:cs="Arial"/>
          <w:b w:val="0"/>
          <w:color w:val="auto"/>
          <w:sz w:val="22"/>
          <w:szCs w:val="22"/>
          <w:u w:val="single"/>
        </w:rPr>
      </w:pPr>
    </w:p>
    <w:p w14:paraId="401823C0" w14:textId="77777777" w:rsidR="00064C98" w:rsidRPr="00064C98" w:rsidRDefault="00064C98" w:rsidP="00064C98">
      <w:pPr>
        <w:pStyle w:val="Heading3"/>
        <w:spacing w:before="0"/>
        <w:rPr>
          <w:rFonts w:ascii="Arial" w:hAnsi="Arial" w:cs="Arial"/>
          <w:b w:val="0"/>
          <w:bCs w:val="0"/>
          <w:color w:val="auto"/>
          <w:sz w:val="22"/>
          <w:szCs w:val="22"/>
        </w:rPr>
      </w:pPr>
      <w:r w:rsidRPr="00064C98">
        <w:rPr>
          <w:rFonts w:ascii="Arial" w:hAnsi="Arial" w:cs="Arial"/>
          <w:color w:val="auto"/>
          <w:sz w:val="22"/>
          <w:szCs w:val="22"/>
        </w:rPr>
        <w:t>WAC 357-19-388 What notices must employees and their employers provide each other when an employee accepts a nonpermanent appointment?</w:t>
      </w:r>
    </w:p>
    <w:p w14:paraId="2F5AF10F" w14:textId="77777777" w:rsidR="00022B0F" w:rsidRDefault="00022B0F" w:rsidP="00022B0F">
      <w:pPr>
        <w:rPr>
          <w:rFonts w:ascii="Arial" w:hAnsi="Arial" w:cs="Arial"/>
          <w:sz w:val="22"/>
          <w:szCs w:val="22"/>
        </w:rPr>
      </w:pPr>
    </w:p>
    <w:p w14:paraId="79204C05" w14:textId="1A2C44DF" w:rsidR="00064C98" w:rsidRPr="00064C98" w:rsidRDefault="00064C98" w:rsidP="00022B0F">
      <w:pPr>
        <w:rPr>
          <w:rFonts w:ascii="Arial" w:hAnsi="Arial" w:cs="Arial"/>
          <w:sz w:val="22"/>
          <w:szCs w:val="22"/>
        </w:rPr>
      </w:pPr>
      <w:r w:rsidRPr="00064C98">
        <w:rPr>
          <w:rFonts w:ascii="Arial" w:hAnsi="Arial" w:cs="Arial"/>
          <w:sz w:val="22"/>
          <w:szCs w:val="22"/>
        </w:rPr>
        <w:t xml:space="preserve">Employees who accept a nonpermanent appointment must give their current employers at least fourteen calendar days' notice before moving to a nonpermanent appointment. The current </w:t>
      </w:r>
      <w:r w:rsidRPr="00064C98">
        <w:rPr>
          <w:rFonts w:ascii="Arial" w:hAnsi="Arial" w:cs="Arial"/>
          <w:strike/>
          <w:sz w:val="22"/>
          <w:szCs w:val="22"/>
        </w:rPr>
        <w:t xml:space="preserve">agency </w:t>
      </w:r>
      <w:r w:rsidRPr="00064C98">
        <w:rPr>
          <w:rFonts w:ascii="Arial" w:hAnsi="Arial" w:cs="Arial"/>
          <w:sz w:val="22"/>
          <w:szCs w:val="22"/>
          <w:u w:val="single"/>
        </w:rPr>
        <w:t>employer</w:t>
      </w:r>
      <w:r w:rsidRPr="00064C98">
        <w:rPr>
          <w:rFonts w:ascii="Arial" w:hAnsi="Arial" w:cs="Arial"/>
          <w:sz w:val="22"/>
          <w:szCs w:val="22"/>
        </w:rPr>
        <w:t xml:space="preserve"> and employee may agree to waive or shorten the notice period.</w:t>
      </w:r>
    </w:p>
    <w:p w14:paraId="671162C3"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When the current employer receives the employee's notice, the employee's permanent </w:t>
      </w:r>
      <w:r w:rsidRPr="00064C98">
        <w:rPr>
          <w:rFonts w:ascii="Arial" w:hAnsi="Arial" w:cs="Arial"/>
          <w:strike/>
          <w:sz w:val="22"/>
          <w:szCs w:val="22"/>
        </w:rPr>
        <w:t xml:space="preserve">agency </w:t>
      </w:r>
      <w:r w:rsidRPr="00064C98">
        <w:rPr>
          <w:rFonts w:ascii="Arial" w:hAnsi="Arial" w:cs="Arial"/>
          <w:sz w:val="22"/>
          <w:szCs w:val="22"/>
          <w:u w:val="single"/>
        </w:rPr>
        <w:t>employer</w:t>
      </w:r>
      <w:r w:rsidRPr="00064C98">
        <w:rPr>
          <w:rFonts w:ascii="Arial" w:hAnsi="Arial" w:cs="Arial"/>
          <w:sz w:val="22"/>
          <w:szCs w:val="22"/>
        </w:rPr>
        <w:t xml:space="preserve"> must notify the employee in writing of his/her return right at the conclusion of the nonpermanent appointment.</w:t>
      </w:r>
    </w:p>
    <w:p w14:paraId="2106B1ED"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For purposes of this rule, written notice may be provided using alternative methods such as email, campus mail, the state mail service, or commercial parcel delivery in accordance with WAC </w:t>
      </w:r>
      <w:hyperlink r:id="rId53" w:history="1">
        <w:r w:rsidRPr="00064C98">
          <w:rPr>
            <w:rFonts w:ascii="Arial" w:hAnsi="Arial" w:cs="Arial"/>
            <w:sz w:val="22"/>
            <w:szCs w:val="22"/>
            <w:u w:val="single"/>
          </w:rPr>
          <w:t>357-04-105</w:t>
        </w:r>
      </w:hyperlink>
      <w:r w:rsidRPr="00064C98">
        <w:rPr>
          <w:rFonts w:ascii="Arial" w:hAnsi="Arial" w:cs="Arial"/>
          <w:sz w:val="22"/>
          <w:szCs w:val="22"/>
        </w:rPr>
        <w:t>.</w:t>
      </w:r>
    </w:p>
    <w:p w14:paraId="18E497D5" w14:textId="77777777" w:rsidR="00064C98" w:rsidRPr="00064C98" w:rsidRDefault="00064C98" w:rsidP="00064C98">
      <w:pPr>
        <w:rPr>
          <w:rFonts w:ascii="Arial" w:hAnsi="Arial" w:cs="Arial"/>
          <w:sz w:val="22"/>
          <w:szCs w:val="22"/>
        </w:rPr>
      </w:pPr>
    </w:p>
    <w:p w14:paraId="14A18BD7"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lastRenderedPageBreak/>
        <w:t>AMENDATORY SECTION</w:t>
      </w:r>
    </w:p>
    <w:p w14:paraId="147E7932" w14:textId="77777777" w:rsidR="00064C98" w:rsidRPr="00064C98" w:rsidRDefault="00064C98" w:rsidP="00064C98">
      <w:pPr>
        <w:pStyle w:val="Heading3"/>
        <w:spacing w:before="0"/>
        <w:rPr>
          <w:rFonts w:ascii="Arial" w:hAnsi="Arial" w:cs="Arial"/>
          <w:b w:val="0"/>
          <w:color w:val="auto"/>
          <w:sz w:val="22"/>
          <w:szCs w:val="22"/>
          <w:u w:val="single"/>
        </w:rPr>
      </w:pPr>
    </w:p>
    <w:p w14:paraId="52FC2E95"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357-19-400 Can </w:t>
      </w:r>
      <w:r w:rsidRPr="00064C98">
        <w:rPr>
          <w:rFonts w:ascii="Arial" w:hAnsi="Arial" w:cs="Arial"/>
          <w:strike/>
          <w:color w:val="auto"/>
          <w:sz w:val="22"/>
          <w:szCs w:val="22"/>
        </w:rPr>
        <w:t xml:space="preserve">agency </w:t>
      </w:r>
      <w:r w:rsidRPr="00064C98">
        <w:rPr>
          <w:rFonts w:ascii="Arial" w:hAnsi="Arial" w:cs="Arial"/>
          <w:color w:val="auto"/>
          <w:sz w:val="22"/>
          <w:szCs w:val="22"/>
          <w:u w:val="single"/>
        </w:rPr>
        <w:t>an employer</w:t>
      </w:r>
      <w:r w:rsidRPr="00064C98">
        <w:rPr>
          <w:rFonts w:ascii="Arial" w:hAnsi="Arial" w:cs="Arial"/>
          <w:color w:val="auto"/>
          <w:sz w:val="22"/>
          <w:szCs w:val="22"/>
        </w:rPr>
        <w:t xml:space="preserve"> convert a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appointment to a probationary or trial service appointment?</w:t>
      </w:r>
    </w:p>
    <w:p w14:paraId="7095D813" w14:textId="77777777" w:rsidR="00022B0F" w:rsidRDefault="00022B0F" w:rsidP="00022B0F">
      <w:pPr>
        <w:rPr>
          <w:rFonts w:ascii="Arial" w:hAnsi="Arial" w:cs="Arial"/>
          <w:sz w:val="22"/>
          <w:szCs w:val="22"/>
        </w:rPr>
      </w:pPr>
    </w:p>
    <w:p w14:paraId="2F93E58B" w14:textId="4C5EEC23" w:rsidR="00064C98" w:rsidRPr="00064C98" w:rsidRDefault="00064C98" w:rsidP="00022B0F">
      <w:pPr>
        <w:rPr>
          <w:rFonts w:ascii="Arial" w:hAnsi="Arial" w:cs="Arial"/>
          <w:sz w:val="22"/>
          <w:szCs w:val="22"/>
        </w:rPr>
      </w:pPr>
      <w:r w:rsidRPr="00064C98">
        <w:rPr>
          <w:rFonts w:ascii="Arial" w:hAnsi="Arial" w:cs="Arial"/>
          <w:sz w:val="22"/>
          <w:szCs w:val="22"/>
        </w:rPr>
        <w:t xml:space="preserve">(1) When an </w:t>
      </w:r>
      <w:r w:rsidRPr="00064C98">
        <w:rPr>
          <w:rFonts w:ascii="Arial" w:hAnsi="Arial" w:cs="Arial"/>
          <w:strike/>
          <w:sz w:val="22"/>
          <w:szCs w:val="22"/>
        </w:rPr>
        <w:t xml:space="preserve">agency </w:t>
      </w:r>
      <w:r w:rsidRPr="00064C98">
        <w:rPr>
          <w:rFonts w:ascii="Arial" w:hAnsi="Arial" w:cs="Arial"/>
          <w:sz w:val="22"/>
          <w:szCs w:val="22"/>
          <w:u w:val="single"/>
        </w:rPr>
        <w:t>employer</w:t>
      </w:r>
      <w:r w:rsidRPr="00064C98">
        <w:rPr>
          <w:rFonts w:ascii="Arial" w:hAnsi="Arial" w:cs="Arial"/>
          <w:sz w:val="22"/>
          <w:szCs w:val="22"/>
        </w:rPr>
        <w:t xml:space="preserve"> uses a competitive process to make a nonpermanent appointment to fill a position in the absence of a permanent employee or fill a position </w:t>
      </w:r>
      <w:proofErr w:type="spellStart"/>
      <w:r w:rsidRPr="00064C98">
        <w:rPr>
          <w:rFonts w:ascii="Arial" w:hAnsi="Arial" w:cs="Arial"/>
          <w:sz w:val="22"/>
          <w:szCs w:val="22"/>
        </w:rPr>
        <w:t>nonpermanently</w:t>
      </w:r>
      <w:proofErr w:type="spellEnd"/>
      <w:r w:rsidRPr="00064C98">
        <w:rPr>
          <w:rFonts w:ascii="Arial" w:hAnsi="Arial" w:cs="Arial"/>
          <w:sz w:val="22"/>
          <w:szCs w:val="22"/>
        </w:rPr>
        <w:t xml:space="preserve"> due to the impending or actual layoff of a permanent employee(s), the </w:t>
      </w:r>
      <w:r w:rsidRPr="00064C98">
        <w:rPr>
          <w:rFonts w:ascii="Arial" w:hAnsi="Arial" w:cs="Arial"/>
          <w:strike/>
          <w:sz w:val="22"/>
          <w:szCs w:val="22"/>
        </w:rPr>
        <w:t xml:space="preserve">agency </w:t>
      </w:r>
      <w:r w:rsidRPr="00064C98">
        <w:rPr>
          <w:rFonts w:ascii="Arial" w:hAnsi="Arial" w:cs="Arial"/>
          <w:sz w:val="22"/>
          <w:szCs w:val="22"/>
          <w:u w:val="single"/>
        </w:rPr>
        <w:t>employer</w:t>
      </w:r>
      <w:r w:rsidRPr="00064C98">
        <w:rPr>
          <w:rFonts w:ascii="Arial" w:hAnsi="Arial" w:cs="Arial"/>
          <w:sz w:val="22"/>
          <w:szCs w:val="22"/>
        </w:rPr>
        <w:t xml:space="preserve"> may change the status of the appointment to probationary or if the employee held permanent status prior to the nonpermanent appointment to trial service if:</w:t>
      </w:r>
    </w:p>
    <w:p w14:paraId="57D9D00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(a) The permanent employee does not return to the position or the layoff action has been implemented; and</w:t>
      </w:r>
    </w:p>
    <w:p w14:paraId="5A0F524C"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(b) The </w:t>
      </w:r>
      <w:r w:rsidRPr="00064C98">
        <w:rPr>
          <w:rFonts w:ascii="Arial" w:hAnsi="Arial" w:cs="Arial"/>
          <w:strike/>
          <w:sz w:val="22"/>
          <w:szCs w:val="22"/>
        </w:rPr>
        <w:t xml:space="preserve">agency </w:t>
      </w:r>
      <w:r w:rsidRPr="00064C98">
        <w:rPr>
          <w:rFonts w:ascii="Arial" w:hAnsi="Arial" w:cs="Arial"/>
          <w:sz w:val="22"/>
          <w:szCs w:val="22"/>
          <w:u w:val="single"/>
        </w:rPr>
        <w:t>employer</w:t>
      </w:r>
      <w:r w:rsidRPr="00064C98">
        <w:rPr>
          <w:rFonts w:ascii="Arial" w:hAnsi="Arial" w:cs="Arial"/>
          <w:sz w:val="22"/>
          <w:szCs w:val="22"/>
        </w:rPr>
        <w:t xml:space="preserve"> needs to fill the position permanently.</w:t>
      </w:r>
    </w:p>
    <w:p w14:paraId="18D503B4"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(2) At the discretion of the appointing authority, time spent in the nonpermanent appointment may count towards the probationary or trial service period for the permanent position.</w:t>
      </w:r>
    </w:p>
    <w:p w14:paraId="3EFBDEEA" w14:textId="77777777" w:rsidR="00064C98" w:rsidRPr="00064C98" w:rsidRDefault="00064C98" w:rsidP="00064C98">
      <w:pPr>
        <w:rPr>
          <w:rFonts w:ascii="Arial" w:hAnsi="Arial" w:cs="Arial"/>
          <w:sz w:val="22"/>
          <w:szCs w:val="22"/>
        </w:rPr>
      </w:pPr>
    </w:p>
    <w:p w14:paraId="5FA39EA2"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23098EB6" w14:textId="77777777" w:rsidR="00064C98" w:rsidRPr="00064C98" w:rsidRDefault="00064C98" w:rsidP="00064C98">
      <w:pPr>
        <w:spacing w:before="75" w:after="150"/>
        <w:outlineLvl w:val="2"/>
        <w:rPr>
          <w:rFonts w:ascii="Arial" w:hAnsi="Arial" w:cs="Arial"/>
          <w:b/>
          <w:bCs/>
          <w:sz w:val="22"/>
          <w:szCs w:val="22"/>
        </w:rPr>
      </w:pPr>
      <w:r w:rsidRPr="00064C98">
        <w:rPr>
          <w:rFonts w:ascii="Arial" w:hAnsi="Arial" w:cs="Arial"/>
          <w:b/>
          <w:bCs/>
          <w:sz w:val="22"/>
          <w:szCs w:val="22"/>
        </w:rPr>
        <w:t xml:space="preserve">WAC 357-19-420 What are the appeal rights of </w:t>
      </w:r>
      <w:r w:rsidRPr="00064C98">
        <w:rPr>
          <w:rFonts w:ascii="Arial" w:hAnsi="Arial" w:cs="Arial"/>
          <w:strike/>
          <w:sz w:val="22"/>
          <w:szCs w:val="22"/>
        </w:rPr>
        <w:t xml:space="preserve">general government </w:t>
      </w:r>
      <w:r w:rsidRPr="00064C98">
        <w:rPr>
          <w:rFonts w:ascii="Arial" w:hAnsi="Arial" w:cs="Arial"/>
          <w:b/>
          <w:bCs/>
          <w:sz w:val="22"/>
          <w:szCs w:val="22"/>
        </w:rPr>
        <w:t>nonpermanent employees?</w:t>
      </w:r>
    </w:p>
    <w:p w14:paraId="0F39E2A2" w14:textId="77777777" w:rsidR="00022B0F" w:rsidRDefault="00022B0F" w:rsidP="00022B0F">
      <w:pPr>
        <w:rPr>
          <w:rFonts w:ascii="Arial" w:hAnsi="Arial" w:cs="Arial"/>
          <w:sz w:val="22"/>
          <w:szCs w:val="22"/>
        </w:rPr>
      </w:pPr>
    </w:p>
    <w:p w14:paraId="40B49823" w14:textId="7B1C7ED0" w:rsidR="00064C98" w:rsidRPr="00064C98" w:rsidRDefault="00064C98" w:rsidP="00022B0F">
      <w:pPr>
        <w:rPr>
          <w:rFonts w:ascii="Arial" w:hAnsi="Arial" w:cs="Arial"/>
          <w:sz w:val="22"/>
          <w:szCs w:val="22"/>
        </w:rPr>
      </w:pPr>
      <w:r w:rsidRPr="00064C98">
        <w:rPr>
          <w:rFonts w:ascii="Arial" w:hAnsi="Arial" w:cs="Arial"/>
          <w:sz w:val="22"/>
          <w:szCs w:val="22"/>
        </w:rPr>
        <w:t xml:space="preserve">Employees without permanent status appointed to </w:t>
      </w:r>
      <w:r w:rsidRPr="00064C98">
        <w:rPr>
          <w:rFonts w:ascii="Arial" w:hAnsi="Arial" w:cs="Arial"/>
          <w:strike/>
          <w:sz w:val="22"/>
          <w:szCs w:val="22"/>
        </w:rPr>
        <w:t xml:space="preserve">general government </w:t>
      </w:r>
      <w:r w:rsidRPr="00064C98">
        <w:rPr>
          <w:rFonts w:ascii="Arial" w:hAnsi="Arial" w:cs="Arial"/>
          <w:sz w:val="22"/>
          <w:szCs w:val="22"/>
        </w:rPr>
        <w:t xml:space="preserve">nonpermanent appointments have no appeal rights with the exception of remedial action as provided in WAC </w:t>
      </w:r>
      <w:hyperlink r:id="rId54" w:history="1">
        <w:r w:rsidRPr="00064C98">
          <w:rPr>
            <w:rFonts w:ascii="Arial" w:hAnsi="Arial" w:cs="Arial"/>
            <w:sz w:val="22"/>
            <w:szCs w:val="22"/>
            <w:u w:val="single"/>
          </w:rPr>
          <w:t>357-19-430</w:t>
        </w:r>
      </w:hyperlink>
      <w:r w:rsidRPr="00064C98">
        <w:rPr>
          <w:rFonts w:ascii="Arial" w:hAnsi="Arial" w:cs="Arial"/>
          <w:sz w:val="22"/>
          <w:szCs w:val="22"/>
        </w:rPr>
        <w:t>.</w:t>
      </w:r>
    </w:p>
    <w:p w14:paraId="6B3D3D25" w14:textId="77777777" w:rsidR="00064C98" w:rsidRPr="00064C98" w:rsidRDefault="00064C98" w:rsidP="00064C98">
      <w:pPr>
        <w:rPr>
          <w:rFonts w:ascii="Arial" w:hAnsi="Arial" w:cs="Arial"/>
          <w:sz w:val="22"/>
          <w:szCs w:val="22"/>
        </w:rPr>
      </w:pPr>
    </w:p>
    <w:p w14:paraId="275FAAC1"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1C2680C3" w14:textId="77777777" w:rsidR="00064C98" w:rsidRPr="00064C98" w:rsidRDefault="00064C98" w:rsidP="00064C98">
      <w:pPr>
        <w:pStyle w:val="Heading3"/>
        <w:spacing w:before="0"/>
        <w:rPr>
          <w:rFonts w:ascii="Arial" w:hAnsi="Arial" w:cs="Arial"/>
          <w:b w:val="0"/>
          <w:color w:val="auto"/>
          <w:sz w:val="22"/>
          <w:szCs w:val="22"/>
          <w:u w:val="single"/>
        </w:rPr>
      </w:pPr>
    </w:p>
    <w:p w14:paraId="0C2679BB"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357-19-425 How does a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employee request remedial action?</w:t>
      </w:r>
    </w:p>
    <w:p w14:paraId="503559BF" w14:textId="77777777" w:rsidR="00022B0F" w:rsidRDefault="00022B0F" w:rsidP="00022B0F">
      <w:pPr>
        <w:rPr>
          <w:rFonts w:ascii="Arial" w:hAnsi="Arial" w:cs="Arial"/>
          <w:sz w:val="22"/>
          <w:szCs w:val="22"/>
        </w:rPr>
      </w:pPr>
    </w:p>
    <w:p w14:paraId="3B18B9F3" w14:textId="5039B082" w:rsidR="00064C98" w:rsidRPr="00064C98" w:rsidRDefault="00064C98" w:rsidP="00022B0F">
      <w:pPr>
        <w:rPr>
          <w:rFonts w:ascii="Arial" w:hAnsi="Arial" w:cs="Arial"/>
          <w:sz w:val="22"/>
          <w:szCs w:val="22"/>
        </w:rPr>
      </w:pPr>
      <w:r w:rsidRPr="00064C98">
        <w:rPr>
          <w:rFonts w:ascii="Arial" w:hAnsi="Arial" w:cs="Arial"/>
          <w:sz w:val="22"/>
          <w:szCs w:val="22"/>
        </w:rPr>
        <w:t xml:space="preserve">Requests for remedial action by nonpermanent employees must be received in writing within thirty days as provided in chapter </w:t>
      </w:r>
      <w:hyperlink r:id="rId55" w:history="1">
        <w:r w:rsidRPr="00064C98">
          <w:rPr>
            <w:rFonts w:ascii="Arial" w:hAnsi="Arial" w:cs="Arial"/>
            <w:sz w:val="22"/>
            <w:szCs w:val="22"/>
            <w:u w:val="single"/>
          </w:rPr>
          <w:t>357-49</w:t>
        </w:r>
      </w:hyperlink>
      <w:r w:rsidRPr="00064C98">
        <w:rPr>
          <w:rFonts w:ascii="Arial" w:hAnsi="Arial" w:cs="Arial"/>
          <w:sz w:val="22"/>
          <w:szCs w:val="22"/>
        </w:rPr>
        <w:t xml:space="preserve"> WAC. Following a director's review of the remedial action request, an employee may file exceptions to the director's decision in accordance with chapter </w:t>
      </w:r>
      <w:hyperlink r:id="rId56" w:history="1">
        <w:r w:rsidRPr="00064C98">
          <w:rPr>
            <w:rFonts w:ascii="Arial" w:hAnsi="Arial" w:cs="Arial"/>
            <w:sz w:val="22"/>
            <w:szCs w:val="22"/>
            <w:u w:val="single"/>
          </w:rPr>
          <w:t>357-52</w:t>
        </w:r>
      </w:hyperlink>
      <w:r w:rsidRPr="00064C98">
        <w:rPr>
          <w:rFonts w:ascii="Arial" w:hAnsi="Arial" w:cs="Arial"/>
          <w:sz w:val="22"/>
          <w:szCs w:val="22"/>
        </w:rPr>
        <w:t xml:space="preserve"> WAC.</w:t>
      </w:r>
    </w:p>
    <w:p w14:paraId="3EA26FE7" w14:textId="77777777" w:rsidR="00064C98" w:rsidRPr="00064C98" w:rsidRDefault="00064C98" w:rsidP="00064C98">
      <w:pPr>
        <w:rPr>
          <w:rFonts w:ascii="Arial" w:hAnsi="Arial" w:cs="Arial"/>
          <w:sz w:val="22"/>
          <w:szCs w:val="22"/>
        </w:rPr>
      </w:pPr>
    </w:p>
    <w:p w14:paraId="78ABB579"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b w:val="0"/>
          <w:color w:val="auto"/>
          <w:sz w:val="22"/>
          <w:szCs w:val="22"/>
          <w:u w:val="single"/>
        </w:rPr>
        <w:t>AMENDATORY SECTION</w:t>
      </w:r>
    </w:p>
    <w:p w14:paraId="6E5DEAE0" w14:textId="77777777" w:rsidR="00064C98" w:rsidRPr="00064C98" w:rsidRDefault="00064C98" w:rsidP="00064C98">
      <w:pPr>
        <w:pStyle w:val="Heading3"/>
        <w:spacing w:before="0"/>
        <w:rPr>
          <w:rFonts w:ascii="Arial" w:hAnsi="Arial" w:cs="Arial"/>
          <w:b w:val="0"/>
          <w:color w:val="auto"/>
          <w:sz w:val="22"/>
          <w:szCs w:val="22"/>
          <w:u w:val="single"/>
        </w:rPr>
      </w:pPr>
    </w:p>
    <w:p w14:paraId="24088066" w14:textId="77777777" w:rsidR="00064C98" w:rsidRPr="00064C98" w:rsidRDefault="00064C98" w:rsidP="00064C98">
      <w:pPr>
        <w:pStyle w:val="Heading3"/>
        <w:spacing w:before="0"/>
        <w:rPr>
          <w:rFonts w:ascii="Arial" w:hAnsi="Arial" w:cs="Arial"/>
          <w:b w:val="0"/>
          <w:color w:val="auto"/>
          <w:sz w:val="22"/>
          <w:szCs w:val="22"/>
          <w:u w:val="single"/>
        </w:rPr>
      </w:pPr>
      <w:r w:rsidRPr="00064C98">
        <w:rPr>
          <w:rFonts w:ascii="Arial" w:hAnsi="Arial" w:cs="Arial"/>
          <w:color w:val="auto"/>
          <w:sz w:val="22"/>
          <w:szCs w:val="22"/>
        </w:rPr>
        <w:t xml:space="preserve">WAC 357-19-430 When may the director take remedial action for </w:t>
      </w:r>
      <w:r w:rsidRPr="00064C98">
        <w:rPr>
          <w:rFonts w:ascii="Arial" w:hAnsi="Arial" w:cs="Arial"/>
          <w:strike/>
          <w:color w:val="auto"/>
          <w:sz w:val="22"/>
          <w:szCs w:val="22"/>
        </w:rPr>
        <w:t xml:space="preserve">general government </w:t>
      </w:r>
      <w:r w:rsidRPr="00064C98">
        <w:rPr>
          <w:rFonts w:ascii="Arial" w:hAnsi="Arial" w:cs="Arial"/>
          <w:color w:val="auto"/>
          <w:sz w:val="22"/>
          <w:szCs w:val="22"/>
        </w:rPr>
        <w:t>nonpermanent employees and what does remedial action include?</w:t>
      </w:r>
    </w:p>
    <w:p w14:paraId="2CF81AA2" w14:textId="77777777" w:rsidR="00022B0F" w:rsidRDefault="00022B0F" w:rsidP="00022B0F">
      <w:pPr>
        <w:rPr>
          <w:rFonts w:ascii="Arial" w:hAnsi="Arial" w:cs="Arial"/>
          <w:sz w:val="22"/>
          <w:szCs w:val="22"/>
        </w:rPr>
      </w:pPr>
    </w:p>
    <w:p w14:paraId="7532879E" w14:textId="4405C8E0" w:rsidR="00064C98" w:rsidRPr="00064C98" w:rsidRDefault="00064C98" w:rsidP="00022B0F">
      <w:pPr>
        <w:rPr>
          <w:rFonts w:ascii="Arial" w:hAnsi="Arial" w:cs="Arial"/>
          <w:sz w:val="22"/>
          <w:szCs w:val="22"/>
        </w:rPr>
      </w:pPr>
      <w:r w:rsidRPr="00064C98">
        <w:rPr>
          <w:rFonts w:ascii="Arial" w:hAnsi="Arial" w:cs="Arial"/>
          <w:sz w:val="22"/>
          <w:szCs w:val="22"/>
        </w:rPr>
        <w:t>The director may take remedial action to confer permanent status, set base salary, and establish seniority when it is determined that the following conditions exist:</w:t>
      </w:r>
    </w:p>
    <w:p w14:paraId="2E89ABF0"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(1) The employer has made an appointment that does not comply with rules on nonpermanent appointment; or</w:t>
      </w:r>
    </w:p>
    <w:p w14:paraId="7295F39F" w14:textId="77777777" w:rsidR="00064C98" w:rsidRPr="00064C98" w:rsidRDefault="00064C98" w:rsidP="00064C98">
      <w:pPr>
        <w:ind w:firstLine="720"/>
        <w:rPr>
          <w:rFonts w:ascii="Arial" w:hAnsi="Arial" w:cs="Arial"/>
          <w:sz w:val="22"/>
          <w:szCs w:val="22"/>
        </w:rPr>
      </w:pPr>
      <w:r w:rsidRPr="00064C98">
        <w:rPr>
          <w:rFonts w:ascii="Arial" w:hAnsi="Arial" w:cs="Arial"/>
          <w:sz w:val="22"/>
          <w:szCs w:val="22"/>
        </w:rPr>
        <w:t xml:space="preserve">(2) The duration of a nonpermanent appointment as defined in WAC </w:t>
      </w:r>
      <w:hyperlink r:id="rId57" w:history="1">
        <w:r w:rsidRPr="00064C98">
          <w:rPr>
            <w:rFonts w:ascii="Arial" w:hAnsi="Arial" w:cs="Arial"/>
            <w:sz w:val="22"/>
            <w:szCs w:val="22"/>
            <w:u w:val="single"/>
          </w:rPr>
          <w:t>357-19-360</w:t>
        </w:r>
      </w:hyperlink>
      <w:r w:rsidRPr="00064C98">
        <w:rPr>
          <w:rFonts w:ascii="Arial" w:hAnsi="Arial" w:cs="Arial"/>
          <w:sz w:val="22"/>
          <w:szCs w:val="22"/>
        </w:rPr>
        <w:t xml:space="preserve"> (1) through (4) has exceeded twenty-four months without director approval.</w:t>
      </w:r>
    </w:p>
    <w:p w14:paraId="7DB00801" w14:textId="2B46F286" w:rsidR="00064C98" w:rsidRDefault="00064C98" w:rsidP="00064C98">
      <w:pPr>
        <w:rPr>
          <w:rFonts w:ascii="Arial" w:hAnsi="Arial" w:cs="Arial"/>
          <w:sz w:val="22"/>
          <w:szCs w:val="22"/>
        </w:rPr>
      </w:pPr>
    </w:p>
    <w:p w14:paraId="39F122C7" w14:textId="77777777" w:rsidR="00EE4C0D" w:rsidRDefault="00EE4C0D" w:rsidP="00EE4C0D">
      <w:pPr>
        <w:keepNext/>
        <w:rPr>
          <w:rFonts w:ascii="Arial" w:hAnsi="Arial" w:cs="Arial"/>
          <w:b/>
          <w:sz w:val="22"/>
          <w:szCs w:val="22"/>
          <w:u w:val="single"/>
        </w:rPr>
      </w:pPr>
    </w:p>
    <w:p w14:paraId="11A0EFC8" w14:textId="77777777" w:rsidR="00022B0F" w:rsidRDefault="00022B0F">
      <w:pPr>
        <w:spacing w:after="200" w:line="276" w:lineRule="auto"/>
        <w:rPr>
          <w:rFonts w:ascii="Arial" w:hAnsi="Arial" w:cs="Arial"/>
          <w:b/>
          <w:sz w:val="22"/>
          <w:szCs w:val="22"/>
          <w:u w:val="single"/>
        </w:rPr>
      </w:pPr>
      <w:r>
        <w:rPr>
          <w:rFonts w:ascii="Arial" w:hAnsi="Arial" w:cs="Arial"/>
          <w:b/>
          <w:sz w:val="22"/>
          <w:szCs w:val="22"/>
          <w:u w:val="single"/>
        </w:rPr>
        <w:br w:type="page"/>
      </w:r>
    </w:p>
    <w:p w14:paraId="5F78AC69" w14:textId="5149A738" w:rsidR="00EE4C0D" w:rsidRPr="00AD01AB" w:rsidRDefault="00EE4C0D" w:rsidP="00EE4C0D">
      <w:pPr>
        <w:keepNext/>
        <w:rPr>
          <w:rFonts w:ascii="Arial" w:hAnsi="Arial" w:cs="Arial"/>
          <w:b/>
          <w:sz w:val="22"/>
          <w:szCs w:val="22"/>
          <w:u w:val="single"/>
        </w:rPr>
      </w:pPr>
      <w:r w:rsidRPr="00AD01AB">
        <w:rPr>
          <w:rFonts w:ascii="Arial" w:hAnsi="Arial" w:cs="Arial"/>
          <w:b/>
          <w:sz w:val="22"/>
          <w:szCs w:val="22"/>
          <w:u w:val="single"/>
        </w:rPr>
        <w:lastRenderedPageBreak/>
        <w:t>ITEM #</w:t>
      </w:r>
      <w:r>
        <w:rPr>
          <w:rFonts w:ascii="Arial" w:hAnsi="Arial" w:cs="Arial"/>
          <w:b/>
          <w:sz w:val="22"/>
          <w:szCs w:val="22"/>
          <w:u w:val="single"/>
        </w:rPr>
        <w:t>4 – RCW 41.06.070 Cleanup</w:t>
      </w:r>
    </w:p>
    <w:p w14:paraId="337B2F0F" w14:textId="77777777" w:rsidR="00EE4C0D" w:rsidRPr="00AD01AB" w:rsidRDefault="00EE4C0D" w:rsidP="00EE4C0D">
      <w:pPr>
        <w:rPr>
          <w:rFonts w:ascii="Arial" w:hAnsi="Arial" w:cs="Arial"/>
          <w:sz w:val="22"/>
          <w:szCs w:val="22"/>
          <w:u w:val="single"/>
        </w:rPr>
      </w:pPr>
    </w:p>
    <w:p w14:paraId="17C9100B" w14:textId="5E417B85" w:rsidR="00EE4C0D" w:rsidRPr="0032107A" w:rsidRDefault="00EE4C0D" w:rsidP="00EE4C0D">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Pr>
          <w:rFonts w:ascii="Arial" w:hAnsi="Arial" w:cs="Arial"/>
          <w:sz w:val="22"/>
          <w:szCs w:val="22"/>
        </w:rPr>
        <w:t xml:space="preserve">Chapter 246, Laws of 2018 (House Bill 2669) became effective on June 7, 2018. HB 2669 amended RCW 41.06.070 to remove the part-time employee exemption from civil service law (as described in </w:t>
      </w:r>
      <w:r w:rsidRPr="0032107A">
        <w:rPr>
          <w:rFonts w:ascii="Arial" w:hAnsi="Arial" w:cs="Arial"/>
          <w:sz w:val="22"/>
          <w:szCs w:val="22"/>
        </w:rPr>
        <w:t>item #</w:t>
      </w:r>
      <w:r w:rsidR="001A06D7">
        <w:rPr>
          <w:rFonts w:ascii="Arial" w:hAnsi="Arial" w:cs="Arial"/>
          <w:sz w:val="22"/>
          <w:szCs w:val="22"/>
        </w:rPr>
        <w:t>2</w:t>
      </w:r>
      <w:r w:rsidRPr="0032107A">
        <w:rPr>
          <w:rFonts w:ascii="Arial" w:hAnsi="Arial" w:cs="Arial"/>
          <w:sz w:val="22"/>
          <w:szCs w:val="22"/>
        </w:rPr>
        <w:t xml:space="preserve"> above). This amendment also resulted in changes to existing subsections. As a result, the references to RCW 41.06.070(3) in WACs 357-04-020, 357-04-025 and 357-04-030 require amendment to reflect the correct references in RCW 41.06.070. </w:t>
      </w:r>
    </w:p>
    <w:p w14:paraId="17793550" w14:textId="77777777" w:rsidR="00EE4C0D" w:rsidRPr="0032107A" w:rsidRDefault="00EE4C0D" w:rsidP="00EE4C0D">
      <w:pPr>
        <w:rPr>
          <w:rFonts w:ascii="Arial" w:hAnsi="Arial" w:cs="Arial"/>
          <w:b/>
          <w:sz w:val="22"/>
          <w:szCs w:val="22"/>
          <w:u w:val="single"/>
        </w:rPr>
      </w:pPr>
    </w:p>
    <w:p w14:paraId="1FFF0433" w14:textId="6EF7B3AD" w:rsidR="00EE4C0D" w:rsidRDefault="00EE4C0D" w:rsidP="00EE4C0D">
      <w:pPr>
        <w:rPr>
          <w:rFonts w:ascii="Arial" w:hAnsi="Arial" w:cs="Arial"/>
          <w:sz w:val="22"/>
          <w:szCs w:val="22"/>
        </w:rPr>
      </w:pPr>
      <w:r w:rsidRPr="00243192">
        <w:rPr>
          <w:rFonts w:ascii="Arial" w:hAnsi="Arial" w:cs="Arial"/>
          <w:sz w:val="22"/>
          <w:szCs w:val="22"/>
        </w:rPr>
        <w:t xml:space="preserve">Lead:  </w:t>
      </w:r>
      <w:r>
        <w:rPr>
          <w:rFonts w:ascii="Arial" w:hAnsi="Arial" w:cs="Arial"/>
          <w:sz w:val="22"/>
          <w:szCs w:val="22"/>
        </w:rPr>
        <w:t>Brandy Chinn</w:t>
      </w:r>
    </w:p>
    <w:p w14:paraId="2FB4F626" w14:textId="31FA5DFE" w:rsidR="00EE4C0D" w:rsidRDefault="00EE4C0D" w:rsidP="00EE4C0D">
      <w:pPr>
        <w:rPr>
          <w:rFonts w:ascii="Arial" w:hAnsi="Arial" w:cs="Arial"/>
          <w:sz w:val="22"/>
          <w:szCs w:val="22"/>
        </w:rPr>
      </w:pPr>
    </w:p>
    <w:p w14:paraId="6CF49CC8" w14:textId="77777777" w:rsidR="00EE4C0D" w:rsidRDefault="00EE4C0D" w:rsidP="00EE4C0D">
      <w:pPr>
        <w:rPr>
          <w:rFonts w:ascii="Arial" w:hAnsi="Arial" w:cs="Arial"/>
          <w:sz w:val="22"/>
          <w:szCs w:val="22"/>
          <w:u w:val="single"/>
        </w:rPr>
      </w:pPr>
    </w:p>
    <w:p w14:paraId="1550CC9B" w14:textId="77777777" w:rsidR="00EE4C0D" w:rsidRDefault="00EE4C0D" w:rsidP="00EE4C0D">
      <w:pPr>
        <w:rPr>
          <w:rFonts w:ascii="Arial" w:hAnsi="Arial" w:cs="Arial"/>
          <w:sz w:val="22"/>
          <w:szCs w:val="22"/>
        </w:rPr>
      </w:pPr>
      <w:r w:rsidRPr="0032107A">
        <w:rPr>
          <w:rFonts w:ascii="Arial" w:hAnsi="Arial" w:cs="Arial"/>
          <w:sz w:val="22"/>
          <w:szCs w:val="22"/>
          <w:u w:val="single"/>
        </w:rPr>
        <w:t>AMENDATORY SECTION</w:t>
      </w:r>
      <w:r w:rsidRPr="0032107A">
        <w:rPr>
          <w:rFonts w:ascii="Arial" w:hAnsi="Arial" w:cs="Arial"/>
          <w:sz w:val="22"/>
          <w:szCs w:val="22"/>
        </w:rPr>
        <w:t> </w:t>
      </w:r>
    </w:p>
    <w:p w14:paraId="57C61300" w14:textId="77777777" w:rsidR="00EE4C0D" w:rsidRDefault="00EE4C0D" w:rsidP="00EE4C0D">
      <w:pPr>
        <w:rPr>
          <w:rFonts w:ascii="Arial" w:hAnsi="Arial" w:cs="Arial"/>
          <w:sz w:val="22"/>
          <w:szCs w:val="22"/>
        </w:rPr>
      </w:pPr>
    </w:p>
    <w:p w14:paraId="311DE6B5" w14:textId="77777777" w:rsidR="00022B0F" w:rsidRDefault="00EE4C0D" w:rsidP="00EE4C0D">
      <w:pPr>
        <w:rPr>
          <w:rFonts w:ascii="Arial" w:hAnsi="Arial" w:cs="Arial"/>
          <w:sz w:val="22"/>
          <w:szCs w:val="22"/>
        </w:rPr>
      </w:pPr>
      <w:r w:rsidRPr="0032107A">
        <w:rPr>
          <w:rFonts w:ascii="Arial" w:hAnsi="Arial" w:cs="Arial"/>
          <w:b/>
          <w:sz w:val="22"/>
          <w:szCs w:val="22"/>
        </w:rPr>
        <w:t>WAC 357-04-</w:t>
      </w:r>
      <w:proofErr w:type="gramStart"/>
      <w:r w:rsidRPr="0032107A">
        <w:rPr>
          <w:rFonts w:ascii="Arial" w:hAnsi="Arial" w:cs="Arial"/>
          <w:b/>
          <w:sz w:val="22"/>
          <w:szCs w:val="22"/>
        </w:rPr>
        <w:t>020</w:t>
      </w:r>
      <w:r w:rsidRPr="0032107A">
        <w:rPr>
          <w:rFonts w:ascii="Arial" w:hAnsi="Arial" w:cs="Arial"/>
          <w:sz w:val="22"/>
          <w:szCs w:val="22"/>
        </w:rPr>
        <w:t xml:space="preserve">  </w:t>
      </w:r>
      <w:r w:rsidRPr="0032107A">
        <w:rPr>
          <w:rFonts w:ascii="Arial" w:hAnsi="Arial" w:cs="Arial"/>
          <w:b/>
          <w:sz w:val="22"/>
          <w:szCs w:val="22"/>
        </w:rPr>
        <w:t>May</w:t>
      </w:r>
      <w:proofErr w:type="gramEnd"/>
      <w:r w:rsidRPr="0032107A">
        <w:rPr>
          <w:rFonts w:ascii="Arial" w:hAnsi="Arial" w:cs="Arial"/>
          <w:b/>
          <w:sz w:val="22"/>
          <w:szCs w:val="22"/>
        </w:rPr>
        <w:t xml:space="preserve"> the director exempt other positions from civil service?</w:t>
      </w:r>
      <w:r w:rsidRPr="0032107A">
        <w:rPr>
          <w:rFonts w:ascii="Arial" w:hAnsi="Arial" w:cs="Arial"/>
          <w:sz w:val="22"/>
          <w:szCs w:val="22"/>
        </w:rPr>
        <w:t xml:space="preserve">  </w:t>
      </w:r>
    </w:p>
    <w:p w14:paraId="4C83AE98" w14:textId="77777777" w:rsidR="00022B0F" w:rsidRDefault="00022B0F" w:rsidP="00EE4C0D">
      <w:pPr>
        <w:rPr>
          <w:rFonts w:ascii="Arial" w:hAnsi="Arial" w:cs="Arial"/>
          <w:sz w:val="22"/>
          <w:szCs w:val="22"/>
        </w:rPr>
      </w:pPr>
    </w:p>
    <w:p w14:paraId="64D3C5C8" w14:textId="787F73A0" w:rsidR="00EE4C0D" w:rsidRDefault="00EE4C0D" w:rsidP="00EE4C0D">
      <w:pPr>
        <w:rPr>
          <w:rFonts w:ascii="Arial" w:hAnsi="Arial" w:cs="Arial"/>
          <w:sz w:val="22"/>
          <w:szCs w:val="22"/>
        </w:rPr>
      </w:pPr>
      <w:r w:rsidRPr="0032107A">
        <w:rPr>
          <w:rFonts w:ascii="Arial" w:hAnsi="Arial" w:cs="Arial"/>
          <w:sz w:val="22"/>
          <w:szCs w:val="22"/>
        </w:rPr>
        <w:t>The director may provide for further exemptions for general government positions involving substantial responsibility for formulating basic agency or executive policy or involving directing and controlling program operations of an agency or a major administrative division of an agency in accordance with the provisions and procedures of RCW 41.06.070((</w:t>
      </w:r>
      <w:r w:rsidRPr="0032107A">
        <w:rPr>
          <w:rFonts w:ascii="Arial" w:hAnsi="Arial" w:cs="Arial"/>
          <w:strike/>
          <w:sz w:val="22"/>
          <w:szCs w:val="22"/>
        </w:rPr>
        <w:t>(3)</w:t>
      </w:r>
      <w:r w:rsidRPr="0032107A">
        <w:rPr>
          <w:rFonts w:ascii="Arial" w:hAnsi="Arial" w:cs="Arial"/>
          <w:sz w:val="22"/>
          <w:szCs w:val="22"/>
        </w:rPr>
        <w:t>)).</w:t>
      </w:r>
    </w:p>
    <w:p w14:paraId="2B57813E" w14:textId="77777777" w:rsidR="00EE4C0D" w:rsidRDefault="00EE4C0D" w:rsidP="00EE4C0D">
      <w:pPr>
        <w:rPr>
          <w:rFonts w:ascii="Arial" w:hAnsi="Arial" w:cs="Arial"/>
          <w:sz w:val="22"/>
          <w:szCs w:val="22"/>
        </w:rPr>
      </w:pPr>
    </w:p>
    <w:p w14:paraId="5705FD77" w14:textId="77777777" w:rsidR="00EE4C0D" w:rsidRPr="0032107A" w:rsidRDefault="00EE4C0D" w:rsidP="00EE4C0D">
      <w:pPr>
        <w:rPr>
          <w:rFonts w:ascii="Arial" w:hAnsi="Arial" w:cs="Arial"/>
          <w:sz w:val="22"/>
          <w:szCs w:val="22"/>
        </w:rPr>
      </w:pPr>
      <w:r w:rsidRPr="0032107A">
        <w:rPr>
          <w:rFonts w:ascii="Arial" w:hAnsi="Arial" w:cs="Arial"/>
          <w:sz w:val="22"/>
          <w:szCs w:val="22"/>
          <w:u w:val="single"/>
        </w:rPr>
        <w:t>AMENDATORY SECTION</w:t>
      </w:r>
      <w:r w:rsidRPr="0032107A">
        <w:rPr>
          <w:rFonts w:ascii="Arial" w:hAnsi="Arial" w:cs="Arial"/>
          <w:sz w:val="22"/>
          <w:szCs w:val="22"/>
        </w:rPr>
        <w:t> </w:t>
      </w:r>
    </w:p>
    <w:p w14:paraId="1BD9A52F" w14:textId="77777777" w:rsidR="00EE4C0D" w:rsidRDefault="00EE4C0D" w:rsidP="00EE4C0D">
      <w:pPr>
        <w:rPr>
          <w:rFonts w:ascii="Arial" w:hAnsi="Arial" w:cs="Arial"/>
          <w:b/>
          <w:sz w:val="22"/>
          <w:szCs w:val="22"/>
        </w:rPr>
      </w:pPr>
    </w:p>
    <w:p w14:paraId="35B6C251" w14:textId="77777777" w:rsidR="00022B0F" w:rsidRDefault="00EE4C0D" w:rsidP="00EE4C0D">
      <w:pPr>
        <w:rPr>
          <w:rFonts w:ascii="Arial" w:hAnsi="Arial" w:cs="Arial"/>
          <w:sz w:val="22"/>
          <w:szCs w:val="22"/>
        </w:rPr>
      </w:pPr>
      <w:r w:rsidRPr="0032107A">
        <w:rPr>
          <w:rFonts w:ascii="Arial" w:hAnsi="Arial" w:cs="Arial"/>
          <w:b/>
          <w:sz w:val="22"/>
          <w:szCs w:val="22"/>
        </w:rPr>
        <w:t>WAC 357-04-</w:t>
      </w:r>
      <w:proofErr w:type="gramStart"/>
      <w:r w:rsidRPr="0032107A">
        <w:rPr>
          <w:rFonts w:ascii="Arial" w:hAnsi="Arial" w:cs="Arial"/>
          <w:b/>
          <w:sz w:val="22"/>
          <w:szCs w:val="22"/>
        </w:rPr>
        <w:t>025</w:t>
      </w:r>
      <w:r w:rsidRPr="0032107A">
        <w:rPr>
          <w:rFonts w:ascii="Arial" w:hAnsi="Arial" w:cs="Arial"/>
          <w:sz w:val="22"/>
          <w:szCs w:val="22"/>
        </w:rPr>
        <w:t xml:space="preserve">  </w:t>
      </w:r>
      <w:r w:rsidRPr="0032107A">
        <w:rPr>
          <w:rFonts w:ascii="Arial" w:hAnsi="Arial" w:cs="Arial"/>
          <w:b/>
          <w:sz w:val="22"/>
          <w:szCs w:val="22"/>
        </w:rPr>
        <w:t>What</w:t>
      </w:r>
      <w:proofErr w:type="gramEnd"/>
      <w:r w:rsidRPr="0032107A">
        <w:rPr>
          <w:rFonts w:ascii="Arial" w:hAnsi="Arial" w:cs="Arial"/>
          <w:b/>
          <w:sz w:val="22"/>
          <w:szCs w:val="22"/>
        </w:rPr>
        <w:t xml:space="preserve"> rights does a classified employee have when the position he/she holds is exempted from the civil service rules?</w:t>
      </w:r>
      <w:r w:rsidRPr="0032107A">
        <w:rPr>
          <w:rFonts w:ascii="Arial" w:hAnsi="Arial" w:cs="Arial"/>
          <w:sz w:val="22"/>
          <w:szCs w:val="22"/>
        </w:rPr>
        <w:t xml:space="preserve">  </w:t>
      </w:r>
    </w:p>
    <w:p w14:paraId="0B4A3BAE" w14:textId="77777777" w:rsidR="00022B0F" w:rsidRDefault="00022B0F" w:rsidP="00EE4C0D">
      <w:pPr>
        <w:rPr>
          <w:rFonts w:ascii="Arial" w:hAnsi="Arial" w:cs="Arial"/>
          <w:sz w:val="22"/>
          <w:szCs w:val="22"/>
        </w:rPr>
      </w:pPr>
    </w:p>
    <w:p w14:paraId="07A2C595" w14:textId="064B2154" w:rsidR="00EE4C0D" w:rsidRPr="0032107A" w:rsidRDefault="00EE4C0D" w:rsidP="00EE4C0D">
      <w:pPr>
        <w:rPr>
          <w:rFonts w:ascii="Arial" w:hAnsi="Arial" w:cs="Arial"/>
          <w:sz w:val="22"/>
          <w:szCs w:val="22"/>
        </w:rPr>
      </w:pPr>
      <w:r w:rsidRPr="0032107A">
        <w:rPr>
          <w:rFonts w:ascii="Arial" w:hAnsi="Arial" w:cs="Arial"/>
          <w:sz w:val="22"/>
          <w:szCs w:val="22"/>
        </w:rPr>
        <w:t>As required by RCW 41.06.070((</w:t>
      </w:r>
      <w:r w:rsidRPr="0032107A">
        <w:rPr>
          <w:rFonts w:ascii="Arial" w:hAnsi="Arial" w:cs="Arial"/>
          <w:strike/>
          <w:sz w:val="22"/>
          <w:szCs w:val="22"/>
        </w:rPr>
        <w:t>(3)</w:t>
      </w:r>
      <w:r w:rsidRPr="0032107A">
        <w:rPr>
          <w:rFonts w:ascii="Arial" w:hAnsi="Arial" w:cs="Arial"/>
          <w:sz w:val="22"/>
          <w:szCs w:val="22"/>
        </w:rPr>
        <w:t>)) and 41.06.170, an employee holding a classified position has the following rights if the position is exempted from the application of the civil service rules:</w:t>
      </w:r>
    </w:p>
    <w:p w14:paraId="0A829FE0" w14:textId="77777777" w:rsidR="00EE4C0D" w:rsidRPr="0032107A" w:rsidRDefault="00EE4C0D" w:rsidP="00EE4C0D">
      <w:pPr>
        <w:ind w:firstLine="720"/>
        <w:rPr>
          <w:rFonts w:ascii="Arial" w:hAnsi="Arial" w:cs="Arial"/>
          <w:sz w:val="22"/>
          <w:szCs w:val="22"/>
        </w:rPr>
      </w:pPr>
      <w:r w:rsidRPr="0032107A">
        <w:rPr>
          <w:rFonts w:ascii="Arial" w:hAnsi="Arial" w:cs="Arial"/>
          <w:sz w:val="22"/>
          <w:szCs w:val="22"/>
        </w:rPr>
        <w:t>(1) If the employee previously held permanent status in another classified position, the employee has the right to return to the highest class of position previously held, or to a position of similar nature and salary in accordance with WAC 357-19-220.</w:t>
      </w:r>
    </w:p>
    <w:p w14:paraId="503C176F" w14:textId="77777777" w:rsidR="00EE4C0D" w:rsidRDefault="00EE4C0D" w:rsidP="00EE4C0D">
      <w:pPr>
        <w:ind w:firstLine="720"/>
        <w:rPr>
          <w:rFonts w:ascii="Arial" w:hAnsi="Arial" w:cs="Arial"/>
          <w:sz w:val="22"/>
          <w:szCs w:val="22"/>
        </w:rPr>
      </w:pPr>
      <w:r w:rsidRPr="0032107A">
        <w:rPr>
          <w:rFonts w:ascii="Arial" w:hAnsi="Arial" w:cs="Arial"/>
          <w:sz w:val="22"/>
          <w:szCs w:val="22"/>
        </w:rPr>
        <w:t>(2) The employee may appeal the exemption of the position in accordance with chapter 357-52 WAC.</w:t>
      </w:r>
    </w:p>
    <w:p w14:paraId="2C5BECF8" w14:textId="77777777" w:rsidR="00EE4C0D" w:rsidRDefault="00EE4C0D" w:rsidP="00EE4C0D">
      <w:pPr>
        <w:rPr>
          <w:rFonts w:ascii="Arial" w:hAnsi="Arial" w:cs="Arial"/>
          <w:sz w:val="22"/>
          <w:szCs w:val="22"/>
        </w:rPr>
      </w:pPr>
    </w:p>
    <w:p w14:paraId="5D9EB24B" w14:textId="77777777" w:rsidR="00EE4C0D" w:rsidRDefault="00EE4C0D" w:rsidP="00EE4C0D">
      <w:pPr>
        <w:rPr>
          <w:rFonts w:ascii="Arial" w:hAnsi="Arial" w:cs="Arial"/>
          <w:sz w:val="22"/>
          <w:szCs w:val="22"/>
        </w:rPr>
      </w:pPr>
      <w:r w:rsidRPr="0032107A">
        <w:rPr>
          <w:rFonts w:ascii="Arial" w:hAnsi="Arial" w:cs="Arial"/>
          <w:sz w:val="22"/>
          <w:szCs w:val="22"/>
          <w:u w:val="single"/>
        </w:rPr>
        <w:t>AMENDATORY SECTION</w:t>
      </w:r>
      <w:r w:rsidRPr="0032107A">
        <w:rPr>
          <w:rFonts w:ascii="Arial" w:hAnsi="Arial" w:cs="Arial"/>
          <w:sz w:val="22"/>
          <w:szCs w:val="22"/>
        </w:rPr>
        <w:t> </w:t>
      </w:r>
    </w:p>
    <w:p w14:paraId="2C2ADD09" w14:textId="77777777" w:rsidR="00EE4C0D" w:rsidRDefault="00EE4C0D" w:rsidP="00EE4C0D">
      <w:pPr>
        <w:rPr>
          <w:rFonts w:ascii="Arial" w:hAnsi="Arial" w:cs="Arial"/>
          <w:sz w:val="22"/>
          <w:szCs w:val="22"/>
        </w:rPr>
      </w:pPr>
    </w:p>
    <w:p w14:paraId="2CF935F1" w14:textId="77777777" w:rsidR="00022B0F" w:rsidRDefault="00EE4C0D" w:rsidP="00EE4C0D">
      <w:pPr>
        <w:rPr>
          <w:rFonts w:ascii="Arial" w:hAnsi="Arial" w:cs="Arial"/>
          <w:sz w:val="22"/>
          <w:szCs w:val="22"/>
        </w:rPr>
      </w:pPr>
      <w:r w:rsidRPr="0032107A">
        <w:rPr>
          <w:rFonts w:ascii="Arial" w:hAnsi="Arial" w:cs="Arial"/>
          <w:b/>
          <w:sz w:val="22"/>
          <w:szCs w:val="22"/>
        </w:rPr>
        <w:t>WAC 357-04-</w:t>
      </w:r>
      <w:proofErr w:type="gramStart"/>
      <w:r w:rsidRPr="0032107A">
        <w:rPr>
          <w:rFonts w:ascii="Arial" w:hAnsi="Arial" w:cs="Arial"/>
          <w:b/>
          <w:sz w:val="22"/>
          <w:szCs w:val="22"/>
        </w:rPr>
        <w:t>030</w:t>
      </w:r>
      <w:r w:rsidRPr="0032107A">
        <w:rPr>
          <w:rFonts w:ascii="Arial" w:hAnsi="Arial" w:cs="Arial"/>
          <w:sz w:val="22"/>
          <w:szCs w:val="22"/>
        </w:rPr>
        <w:t xml:space="preserve">  </w:t>
      </w:r>
      <w:r w:rsidRPr="0032107A">
        <w:rPr>
          <w:rFonts w:ascii="Arial" w:hAnsi="Arial" w:cs="Arial"/>
          <w:b/>
          <w:sz w:val="22"/>
          <w:szCs w:val="22"/>
        </w:rPr>
        <w:t>What</w:t>
      </w:r>
      <w:proofErr w:type="gramEnd"/>
      <w:r w:rsidRPr="0032107A">
        <w:rPr>
          <w:rFonts w:ascii="Arial" w:hAnsi="Arial" w:cs="Arial"/>
          <w:b/>
          <w:sz w:val="22"/>
          <w:szCs w:val="22"/>
        </w:rPr>
        <w:t xml:space="preserve"> right does an employee have to return to the classified service from exempt service?</w:t>
      </w:r>
      <w:r w:rsidRPr="0032107A">
        <w:rPr>
          <w:rFonts w:ascii="Arial" w:hAnsi="Arial" w:cs="Arial"/>
          <w:sz w:val="22"/>
          <w:szCs w:val="22"/>
        </w:rPr>
        <w:t xml:space="preserve">  </w:t>
      </w:r>
    </w:p>
    <w:p w14:paraId="1AB83AA5" w14:textId="77777777" w:rsidR="00022B0F" w:rsidRDefault="00022B0F" w:rsidP="00EE4C0D">
      <w:pPr>
        <w:rPr>
          <w:rFonts w:ascii="Arial" w:hAnsi="Arial" w:cs="Arial"/>
          <w:sz w:val="22"/>
          <w:szCs w:val="22"/>
        </w:rPr>
      </w:pPr>
    </w:p>
    <w:p w14:paraId="036E6A6E" w14:textId="3AC46089" w:rsidR="00EE4C0D" w:rsidRPr="0032107A" w:rsidRDefault="00EE4C0D" w:rsidP="00EE4C0D">
      <w:pPr>
        <w:rPr>
          <w:rFonts w:ascii="Arial" w:hAnsi="Arial" w:cs="Arial"/>
          <w:sz w:val="22"/>
          <w:szCs w:val="22"/>
        </w:rPr>
      </w:pPr>
      <w:r w:rsidRPr="0032107A">
        <w:rPr>
          <w:rFonts w:ascii="Arial" w:hAnsi="Arial" w:cs="Arial"/>
          <w:sz w:val="22"/>
          <w:szCs w:val="22"/>
        </w:rPr>
        <w:t>As required by RCW 41.06.070((</w:t>
      </w:r>
      <w:r w:rsidRPr="0032107A">
        <w:rPr>
          <w:rFonts w:ascii="Arial" w:hAnsi="Arial" w:cs="Arial"/>
          <w:strike/>
          <w:sz w:val="22"/>
          <w:szCs w:val="22"/>
        </w:rPr>
        <w:t>(3)</w:t>
      </w:r>
      <w:r w:rsidRPr="0032107A">
        <w:rPr>
          <w:rFonts w:ascii="Arial" w:hAnsi="Arial" w:cs="Arial"/>
          <w:sz w:val="22"/>
          <w:szCs w:val="22"/>
        </w:rPr>
        <w:t>)), any employee having permanent status in a classified position who accepts an appointment in an exempt position has the right to return to classified service in accordance with WAC 357-19-195, 357-19-200, and 357-19-205. As long as the employee was not terminated from the exempt position for gross misconduct or malfeasance, the employee has the right to return to the highest class of position in which he/she previously held permanent status or to a position of similar nature and salary.</w:t>
      </w:r>
    </w:p>
    <w:p w14:paraId="5BD2D093" w14:textId="77777777" w:rsidR="00D53FC7" w:rsidRPr="00064C98" w:rsidRDefault="00D53FC7" w:rsidP="00064C98">
      <w:pPr>
        <w:rPr>
          <w:rFonts w:ascii="Arial" w:hAnsi="Arial" w:cs="Arial"/>
          <w:sz w:val="22"/>
          <w:szCs w:val="22"/>
        </w:rPr>
      </w:pPr>
    </w:p>
    <w:sectPr w:rsidR="00D53FC7" w:rsidRPr="00064C98">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3794" w14:textId="77777777" w:rsidR="006968B2" w:rsidRDefault="006968B2" w:rsidP="00E779B9">
      <w:r>
        <w:separator/>
      </w:r>
    </w:p>
  </w:endnote>
  <w:endnote w:type="continuationSeparator" w:id="0">
    <w:p w14:paraId="3A90A4EE" w14:textId="77777777" w:rsidR="006968B2" w:rsidRDefault="006968B2"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102FC714" w14:textId="0B2216CD"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4D8F">
          <w:rPr>
            <w:noProof/>
          </w:rPr>
          <w:t>10</w:t>
        </w:r>
        <w:r>
          <w:rPr>
            <w:noProof/>
          </w:rPr>
          <w:fldChar w:fldCharType="end"/>
        </w:r>
        <w:r>
          <w:t xml:space="preserve"> | </w:t>
        </w:r>
        <w:r>
          <w:rPr>
            <w:color w:val="7F7F7F" w:themeColor="background1" w:themeShade="7F"/>
            <w:spacing w:val="60"/>
          </w:rPr>
          <w:t>Page</w:t>
        </w:r>
      </w:p>
    </w:sdtContent>
  </w:sdt>
  <w:p w14:paraId="13F4FD72" w14:textId="77777777"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483B" w14:textId="77777777" w:rsidR="006968B2" w:rsidRDefault="006968B2" w:rsidP="00E779B9">
      <w:r>
        <w:separator/>
      </w:r>
    </w:p>
  </w:footnote>
  <w:footnote w:type="continuationSeparator" w:id="0">
    <w:p w14:paraId="03D838FC" w14:textId="77777777" w:rsidR="006968B2" w:rsidRDefault="006968B2"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F69E" w14:textId="50C74DC6" w:rsidR="00320F2B" w:rsidRDefault="00DD4D8F"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B44B7">
          <w:rPr>
            <w:rFonts w:asciiTheme="majorHAnsi" w:eastAsiaTheme="majorEastAsia" w:hAnsiTheme="majorHAnsi" w:cstheme="majorBidi"/>
            <w:sz w:val="32"/>
            <w:szCs w:val="32"/>
          </w:rPr>
          <w:t xml:space="preserve">Rule Review Items – </w:t>
        </w:r>
        <w:r w:rsidR="00E21497">
          <w:rPr>
            <w:rFonts w:asciiTheme="majorHAnsi" w:eastAsiaTheme="majorEastAsia" w:hAnsiTheme="majorHAnsi" w:cstheme="majorBidi"/>
            <w:sz w:val="32"/>
            <w:szCs w:val="32"/>
          </w:rPr>
          <w:t>February 11,</w:t>
        </w:r>
        <w:r w:rsidR="008F0D0A">
          <w:rPr>
            <w:rFonts w:asciiTheme="majorHAnsi" w:eastAsiaTheme="majorEastAsia" w:hAnsiTheme="majorHAnsi" w:cstheme="majorBidi"/>
            <w:sz w:val="32"/>
            <w:szCs w:val="32"/>
          </w:rPr>
          <w:t xml:space="preserve"> 2020</w:t>
        </w:r>
      </w:sdtContent>
    </w:sdt>
    <w:r w:rsidR="00081C90">
      <w:rPr>
        <w:rFonts w:asciiTheme="majorHAnsi" w:eastAsiaTheme="majorEastAsia" w:hAnsiTheme="majorHAnsi" w:cstheme="majorBidi"/>
        <w:sz w:val="32"/>
        <w:szCs w:val="32"/>
      </w:rPr>
      <w:t xml:space="preserve"> – Revised Handout</w:t>
    </w:r>
  </w:p>
  <w:p w14:paraId="1FABF6D9" w14:textId="77777777"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12"/>
  </w:num>
  <w:num w:numId="6">
    <w:abstractNumId w:val="15"/>
  </w:num>
  <w:num w:numId="7">
    <w:abstractNumId w:val="17"/>
  </w:num>
  <w:num w:numId="8">
    <w:abstractNumId w:val="5"/>
  </w:num>
  <w:num w:numId="9">
    <w:abstractNumId w:val="10"/>
  </w:num>
  <w:num w:numId="10">
    <w:abstractNumId w:val="19"/>
  </w:num>
  <w:num w:numId="11">
    <w:abstractNumId w:val="14"/>
  </w:num>
  <w:num w:numId="12">
    <w:abstractNumId w:val="6"/>
  </w:num>
  <w:num w:numId="13">
    <w:abstractNumId w:val="20"/>
  </w:num>
  <w:num w:numId="14">
    <w:abstractNumId w:val="2"/>
  </w:num>
  <w:num w:numId="15">
    <w:abstractNumId w:val="13"/>
  </w:num>
  <w:num w:numId="16">
    <w:abstractNumId w:val="0"/>
  </w:num>
  <w:num w:numId="17">
    <w:abstractNumId w:val="1"/>
  </w:num>
  <w:num w:numId="18">
    <w:abstractNumId w:val="18"/>
  </w:num>
  <w:num w:numId="19">
    <w:abstractNumId w:val="11"/>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480C"/>
    <w:rsid w:val="00006126"/>
    <w:rsid w:val="00011DC9"/>
    <w:rsid w:val="00011DE4"/>
    <w:rsid w:val="00014585"/>
    <w:rsid w:val="0001732D"/>
    <w:rsid w:val="00022B0F"/>
    <w:rsid w:val="00023F47"/>
    <w:rsid w:val="000248F4"/>
    <w:rsid w:val="00026DF6"/>
    <w:rsid w:val="00027BED"/>
    <w:rsid w:val="0003484D"/>
    <w:rsid w:val="00037567"/>
    <w:rsid w:val="000400AC"/>
    <w:rsid w:val="000435CA"/>
    <w:rsid w:val="00043605"/>
    <w:rsid w:val="0004763C"/>
    <w:rsid w:val="00052E52"/>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6C20"/>
    <w:rsid w:val="000C0420"/>
    <w:rsid w:val="000C10D7"/>
    <w:rsid w:val="000C1F07"/>
    <w:rsid w:val="000C2C60"/>
    <w:rsid w:val="000C2E50"/>
    <w:rsid w:val="000C3AA8"/>
    <w:rsid w:val="000C4191"/>
    <w:rsid w:val="000C4944"/>
    <w:rsid w:val="000C4C33"/>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6111"/>
    <w:rsid w:val="0017081F"/>
    <w:rsid w:val="00171174"/>
    <w:rsid w:val="00172261"/>
    <w:rsid w:val="0017293B"/>
    <w:rsid w:val="001755E9"/>
    <w:rsid w:val="00176353"/>
    <w:rsid w:val="00177DCE"/>
    <w:rsid w:val="00182E33"/>
    <w:rsid w:val="00182E4E"/>
    <w:rsid w:val="0018725E"/>
    <w:rsid w:val="00190B56"/>
    <w:rsid w:val="00190F8C"/>
    <w:rsid w:val="00193E1F"/>
    <w:rsid w:val="00196635"/>
    <w:rsid w:val="001A06D7"/>
    <w:rsid w:val="001A0BEA"/>
    <w:rsid w:val="001A3AB0"/>
    <w:rsid w:val="001A67C1"/>
    <w:rsid w:val="001B03F1"/>
    <w:rsid w:val="001B252E"/>
    <w:rsid w:val="001B2C19"/>
    <w:rsid w:val="001B3D9A"/>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243F7"/>
    <w:rsid w:val="002244D8"/>
    <w:rsid w:val="00233320"/>
    <w:rsid w:val="00233A3A"/>
    <w:rsid w:val="00234AD1"/>
    <w:rsid w:val="00235EEF"/>
    <w:rsid w:val="0023780E"/>
    <w:rsid w:val="00237E92"/>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9FA"/>
    <w:rsid w:val="002D0C04"/>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12D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40CEA"/>
    <w:rsid w:val="00340E60"/>
    <w:rsid w:val="003413BA"/>
    <w:rsid w:val="00341911"/>
    <w:rsid w:val="003429A2"/>
    <w:rsid w:val="00343163"/>
    <w:rsid w:val="00345762"/>
    <w:rsid w:val="00345C78"/>
    <w:rsid w:val="003463FC"/>
    <w:rsid w:val="003476E7"/>
    <w:rsid w:val="00350303"/>
    <w:rsid w:val="003544EB"/>
    <w:rsid w:val="003576AB"/>
    <w:rsid w:val="003631CB"/>
    <w:rsid w:val="0036477A"/>
    <w:rsid w:val="00366680"/>
    <w:rsid w:val="0036728A"/>
    <w:rsid w:val="0037094A"/>
    <w:rsid w:val="003715F4"/>
    <w:rsid w:val="0037240D"/>
    <w:rsid w:val="00372936"/>
    <w:rsid w:val="003735B6"/>
    <w:rsid w:val="003738CA"/>
    <w:rsid w:val="0037446B"/>
    <w:rsid w:val="003746DD"/>
    <w:rsid w:val="00374A86"/>
    <w:rsid w:val="00381167"/>
    <w:rsid w:val="003818B5"/>
    <w:rsid w:val="003827BE"/>
    <w:rsid w:val="003879C0"/>
    <w:rsid w:val="003906FD"/>
    <w:rsid w:val="00391D78"/>
    <w:rsid w:val="00393760"/>
    <w:rsid w:val="003974B7"/>
    <w:rsid w:val="003A04EE"/>
    <w:rsid w:val="003A0D25"/>
    <w:rsid w:val="003A1037"/>
    <w:rsid w:val="003A58AB"/>
    <w:rsid w:val="003B2D32"/>
    <w:rsid w:val="003B4B44"/>
    <w:rsid w:val="003B6F77"/>
    <w:rsid w:val="003B745A"/>
    <w:rsid w:val="003C3A06"/>
    <w:rsid w:val="003C3C74"/>
    <w:rsid w:val="003C54FB"/>
    <w:rsid w:val="003C7FF3"/>
    <w:rsid w:val="003D3F5C"/>
    <w:rsid w:val="003E198B"/>
    <w:rsid w:val="003E24E4"/>
    <w:rsid w:val="003E436F"/>
    <w:rsid w:val="003E4DAF"/>
    <w:rsid w:val="003F1D3D"/>
    <w:rsid w:val="00400B2D"/>
    <w:rsid w:val="004125A1"/>
    <w:rsid w:val="00416B91"/>
    <w:rsid w:val="00416F06"/>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18A4"/>
    <w:rsid w:val="0046241C"/>
    <w:rsid w:val="00462706"/>
    <w:rsid w:val="0046559A"/>
    <w:rsid w:val="004664B6"/>
    <w:rsid w:val="00473422"/>
    <w:rsid w:val="00474A78"/>
    <w:rsid w:val="00475D8E"/>
    <w:rsid w:val="00484C2E"/>
    <w:rsid w:val="004859E6"/>
    <w:rsid w:val="00485A12"/>
    <w:rsid w:val="004871A9"/>
    <w:rsid w:val="0048762A"/>
    <w:rsid w:val="004916B9"/>
    <w:rsid w:val="00496DE7"/>
    <w:rsid w:val="004A43D7"/>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60170"/>
    <w:rsid w:val="00561C48"/>
    <w:rsid w:val="005673BE"/>
    <w:rsid w:val="00570164"/>
    <w:rsid w:val="005734CC"/>
    <w:rsid w:val="00580D71"/>
    <w:rsid w:val="00585FD6"/>
    <w:rsid w:val="00586D1D"/>
    <w:rsid w:val="00586D58"/>
    <w:rsid w:val="00587D25"/>
    <w:rsid w:val="00591C59"/>
    <w:rsid w:val="00593C77"/>
    <w:rsid w:val="00594720"/>
    <w:rsid w:val="005A09F6"/>
    <w:rsid w:val="005A0A6D"/>
    <w:rsid w:val="005A13BF"/>
    <w:rsid w:val="005A208A"/>
    <w:rsid w:val="005A3A98"/>
    <w:rsid w:val="005A4BC1"/>
    <w:rsid w:val="005A6C00"/>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0165"/>
    <w:rsid w:val="00677AAA"/>
    <w:rsid w:val="006842B2"/>
    <w:rsid w:val="006851E6"/>
    <w:rsid w:val="0068597B"/>
    <w:rsid w:val="006921F5"/>
    <w:rsid w:val="00693082"/>
    <w:rsid w:val="0069317A"/>
    <w:rsid w:val="006938FB"/>
    <w:rsid w:val="00693AE1"/>
    <w:rsid w:val="00695C3A"/>
    <w:rsid w:val="006968B2"/>
    <w:rsid w:val="006A3618"/>
    <w:rsid w:val="006A51BD"/>
    <w:rsid w:val="006B1377"/>
    <w:rsid w:val="006B4131"/>
    <w:rsid w:val="006B7150"/>
    <w:rsid w:val="006B76CD"/>
    <w:rsid w:val="006B7856"/>
    <w:rsid w:val="006B7E69"/>
    <w:rsid w:val="006C5107"/>
    <w:rsid w:val="006C6A95"/>
    <w:rsid w:val="006C7AB5"/>
    <w:rsid w:val="006D1A7E"/>
    <w:rsid w:val="006E1035"/>
    <w:rsid w:val="006E28CC"/>
    <w:rsid w:val="006E2971"/>
    <w:rsid w:val="006E4ED2"/>
    <w:rsid w:val="006E637D"/>
    <w:rsid w:val="006F0A4C"/>
    <w:rsid w:val="006F15D7"/>
    <w:rsid w:val="006F1D2A"/>
    <w:rsid w:val="006F227D"/>
    <w:rsid w:val="006F7166"/>
    <w:rsid w:val="007058FC"/>
    <w:rsid w:val="00710204"/>
    <w:rsid w:val="00710388"/>
    <w:rsid w:val="00710FD9"/>
    <w:rsid w:val="007120D0"/>
    <w:rsid w:val="00713344"/>
    <w:rsid w:val="007162B7"/>
    <w:rsid w:val="00717EF8"/>
    <w:rsid w:val="007200DE"/>
    <w:rsid w:val="00720BE2"/>
    <w:rsid w:val="007227C4"/>
    <w:rsid w:val="0072467D"/>
    <w:rsid w:val="007254FF"/>
    <w:rsid w:val="00727FCC"/>
    <w:rsid w:val="00731581"/>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4219"/>
    <w:rsid w:val="007B4747"/>
    <w:rsid w:val="007C16F1"/>
    <w:rsid w:val="007C247D"/>
    <w:rsid w:val="007C45F9"/>
    <w:rsid w:val="007C4AC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BC8"/>
    <w:rsid w:val="0080201C"/>
    <w:rsid w:val="00802791"/>
    <w:rsid w:val="00803C25"/>
    <w:rsid w:val="00804DF7"/>
    <w:rsid w:val="00805170"/>
    <w:rsid w:val="00805EDE"/>
    <w:rsid w:val="008070F8"/>
    <w:rsid w:val="00807782"/>
    <w:rsid w:val="00811124"/>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A436E"/>
    <w:rsid w:val="008A476B"/>
    <w:rsid w:val="008A7FC4"/>
    <w:rsid w:val="008B031D"/>
    <w:rsid w:val="008B4D13"/>
    <w:rsid w:val="008C2018"/>
    <w:rsid w:val="008C426D"/>
    <w:rsid w:val="008C5A1B"/>
    <w:rsid w:val="008D309B"/>
    <w:rsid w:val="008D6217"/>
    <w:rsid w:val="008D6844"/>
    <w:rsid w:val="008D7274"/>
    <w:rsid w:val="008E16D9"/>
    <w:rsid w:val="008E2FC8"/>
    <w:rsid w:val="008E42B4"/>
    <w:rsid w:val="008F04CA"/>
    <w:rsid w:val="008F0AF7"/>
    <w:rsid w:val="008F0D0A"/>
    <w:rsid w:val="008F1786"/>
    <w:rsid w:val="008F204E"/>
    <w:rsid w:val="008F215F"/>
    <w:rsid w:val="008F256B"/>
    <w:rsid w:val="008F2C23"/>
    <w:rsid w:val="008F3B88"/>
    <w:rsid w:val="008F47B1"/>
    <w:rsid w:val="008F659A"/>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71F61"/>
    <w:rsid w:val="009749AB"/>
    <w:rsid w:val="009755DB"/>
    <w:rsid w:val="00980E13"/>
    <w:rsid w:val="009854B4"/>
    <w:rsid w:val="009859DA"/>
    <w:rsid w:val="0099025C"/>
    <w:rsid w:val="00990625"/>
    <w:rsid w:val="009943AE"/>
    <w:rsid w:val="009A229B"/>
    <w:rsid w:val="009A3A45"/>
    <w:rsid w:val="009B5018"/>
    <w:rsid w:val="009B7C8A"/>
    <w:rsid w:val="009C1189"/>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E9E"/>
    <w:rsid w:val="00A17FE7"/>
    <w:rsid w:val="00A210CC"/>
    <w:rsid w:val="00A2737E"/>
    <w:rsid w:val="00A30D63"/>
    <w:rsid w:val="00A34481"/>
    <w:rsid w:val="00A344CB"/>
    <w:rsid w:val="00A3678C"/>
    <w:rsid w:val="00A368D3"/>
    <w:rsid w:val="00A368D5"/>
    <w:rsid w:val="00A37E8D"/>
    <w:rsid w:val="00A418B1"/>
    <w:rsid w:val="00A41CCF"/>
    <w:rsid w:val="00A4391F"/>
    <w:rsid w:val="00A43FE7"/>
    <w:rsid w:val="00A4665E"/>
    <w:rsid w:val="00A551EB"/>
    <w:rsid w:val="00A62BA8"/>
    <w:rsid w:val="00A64B45"/>
    <w:rsid w:val="00A65D7D"/>
    <w:rsid w:val="00A67A71"/>
    <w:rsid w:val="00A67B27"/>
    <w:rsid w:val="00A71EBD"/>
    <w:rsid w:val="00A72DE7"/>
    <w:rsid w:val="00A74059"/>
    <w:rsid w:val="00A752D2"/>
    <w:rsid w:val="00A755B2"/>
    <w:rsid w:val="00A82866"/>
    <w:rsid w:val="00A844E7"/>
    <w:rsid w:val="00A84FB4"/>
    <w:rsid w:val="00A85892"/>
    <w:rsid w:val="00A908E5"/>
    <w:rsid w:val="00A92856"/>
    <w:rsid w:val="00A96594"/>
    <w:rsid w:val="00A97449"/>
    <w:rsid w:val="00AA1A2B"/>
    <w:rsid w:val="00AA4BA1"/>
    <w:rsid w:val="00AA4BBF"/>
    <w:rsid w:val="00AA5F0E"/>
    <w:rsid w:val="00AB033E"/>
    <w:rsid w:val="00AB0DFB"/>
    <w:rsid w:val="00AB0E12"/>
    <w:rsid w:val="00AB252C"/>
    <w:rsid w:val="00AB28C5"/>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0154"/>
    <w:rsid w:val="00AF13CD"/>
    <w:rsid w:val="00AF5DAB"/>
    <w:rsid w:val="00B006D3"/>
    <w:rsid w:val="00B00BC7"/>
    <w:rsid w:val="00B02D57"/>
    <w:rsid w:val="00B03C0E"/>
    <w:rsid w:val="00B0523C"/>
    <w:rsid w:val="00B1078F"/>
    <w:rsid w:val="00B10B6B"/>
    <w:rsid w:val="00B13358"/>
    <w:rsid w:val="00B13B98"/>
    <w:rsid w:val="00B1445F"/>
    <w:rsid w:val="00B16B4B"/>
    <w:rsid w:val="00B214F4"/>
    <w:rsid w:val="00B2242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4AD9"/>
    <w:rsid w:val="00B84DA4"/>
    <w:rsid w:val="00B85A99"/>
    <w:rsid w:val="00B86C47"/>
    <w:rsid w:val="00B87A85"/>
    <w:rsid w:val="00B9249F"/>
    <w:rsid w:val="00B9402C"/>
    <w:rsid w:val="00B946B1"/>
    <w:rsid w:val="00B94B42"/>
    <w:rsid w:val="00B94BA0"/>
    <w:rsid w:val="00BA1131"/>
    <w:rsid w:val="00BA3F36"/>
    <w:rsid w:val="00BA3FDA"/>
    <w:rsid w:val="00BA7CAD"/>
    <w:rsid w:val="00BB0EA5"/>
    <w:rsid w:val="00BB18A3"/>
    <w:rsid w:val="00BB1DDE"/>
    <w:rsid w:val="00BB2688"/>
    <w:rsid w:val="00BB40A1"/>
    <w:rsid w:val="00BB681A"/>
    <w:rsid w:val="00BC3B29"/>
    <w:rsid w:val="00BC683C"/>
    <w:rsid w:val="00BD1CD7"/>
    <w:rsid w:val="00BD3146"/>
    <w:rsid w:val="00BD4C1F"/>
    <w:rsid w:val="00BD61BA"/>
    <w:rsid w:val="00BD7DB6"/>
    <w:rsid w:val="00BE0FEC"/>
    <w:rsid w:val="00BE1126"/>
    <w:rsid w:val="00BE282B"/>
    <w:rsid w:val="00BE4231"/>
    <w:rsid w:val="00BE5F2A"/>
    <w:rsid w:val="00BE6472"/>
    <w:rsid w:val="00BE6EBA"/>
    <w:rsid w:val="00BF0C8A"/>
    <w:rsid w:val="00BF2683"/>
    <w:rsid w:val="00BF362A"/>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6C99"/>
    <w:rsid w:val="00C67506"/>
    <w:rsid w:val="00C706D6"/>
    <w:rsid w:val="00C7136A"/>
    <w:rsid w:val="00C72A19"/>
    <w:rsid w:val="00C74C80"/>
    <w:rsid w:val="00C75571"/>
    <w:rsid w:val="00C77E8D"/>
    <w:rsid w:val="00C8756E"/>
    <w:rsid w:val="00C93EA1"/>
    <w:rsid w:val="00C943B5"/>
    <w:rsid w:val="00C94C45"/>
    <w:rsid w:val="00CA321E"/>
    <w:rsid w:val="00CA5F1F"/>
    <w:rsid w:val="00CB184D"/>
    <w:rsid w:val="00CB2293"/>
    <w:rsid w:val="00CB332B"/>
    <w:rsid w:val="00CB44B7"/>
    <w:rsid w:val="00CB63F5"/>
    <w:rsid w:val="00CC0C8B"/>
    <w:rsid w:val="00CC3D3E"/>
    <w:rsid w:val="00CC446B"/>
    <w:rsid w:val="00CC76AD"/>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26476"/>
    <w:rsid w:val="00D32A16"/>
    <w:rsid w:val="00D369C1"/>
    <w:rsid w:val="00D46104"/>
    <w:rsid w:val="00D471D8"/>
    <w:rsid w:val="00D51042"/>
    <w:rsid w:val="00D539B3"/>
    <w:rsid w:val="00D53FC7"/>
    <w:rsid w:val="00D56597"/>
    <w:rsid w:val="00D56758"/>
    <w:rsid w:val="00D56F1C"/>
    <w:rsid w:val="00D643CA"/>
    <w:rsid w:val="00D676C5"/>
    <w:rsid w:val="00D67DCB"/>
    <w:rsid w:val="00D70318"/>
    <w:rsid w:val="00D71DBD"/>
    <w:rsid w:val="00D739BC"/>
    <w:rsid w:val="00D838F6"/>
    <w:rsid w:val="00D8403E"/>
    <w:rsid w:val="00D84711"/>
    <w:rsid w:val="00D8607B"/>
    <w:rsid w:val="00D91A57"/>
    <w:rsid w:val="00D92ED4"/>
    <w:rsid w:val="00D94A57"/>
    <w:rsid w:val="00D95B18"/>
    <w:rsid w:val="00D95C72"/>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42F9"/>
    <w:rsid w:val="00DD4D8F"/>
    <w:rsid w:val="00DD5246"/>
    <w:rsid w:val="00DD7F73"/>
    <w:rsid w:val="00DE0F80"/>
    <w:rsid w:val="00DE1643"/>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189D"/>
    <w:rsid w:val="00E343E5"/>
    <w:rsid w:val="00E37FB4"/>
    <w:rsid w:val="00E403F5"/>
    <w:rsid w:val="00E41498"/>
    <w:rsid w:val="00E421D8"/>
    <w:rsid w:val="00E434D3"/>
    <w:rsid w:val="00E447E3"/>
    <w:rsid w:val="00E46A46"/>
    <w:rsid w:val="00E47CBA"/>
    <w:rsid w:val="00E526AC"/>
    <w:rsid w:val="00E530E9"/>
    <w:rsid w:val="00E53A0B"/>
    <w:rsid w:val="00E53B38"/>
    <w:rsid w:val="00E53B8F"/>
    <w:rsid w:val="00E53C9D"/>
    <w:rsid w:val="00E61995"/>
    <w:rsid w:val="00E64A4A"/>
    <w:rsid w:val="00E65C39"/>
    <w:rsid w:val="00E70795"/>
    <w:rsid w:val="00E75121"/>
    <w:rsid w:val="00E779B9"/>
    <w:rsid w:val="00E803DE"/>
    <w:rsid w:val="00E80F49"/>
    <w:rsid w:val="00E8177F"/>
    <w:rsid w:val="00E8309A"/>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E4C0D"/>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7FE3"/>
    <w:rsid w:val="00F450D4"/>
    <w:rsid w:val="00F51C96"/>
    <w:rsid w:val="00F51DAC"/>
    <w:rsid w:val="00F52118"/>
    <w:rsid w:val="00F545FD"/>
    <w:rsid w:val="00F5475F"/>
    <w:rsid w:val="00F55CD6"/>
    <w:rsid w:val="00F55F6A"/>
    <w:rsid w:val="00F567AC"/>
    <w:rsid w:val="00F6042C"/>
    <w:rsid w:val="00F62CE6"/>
    <w:rsid w:val="00F642D9"/>
    <w:rsid w:val="00F6492D"/>
    <w:rsid w:val="00F65160"/>
    <w:rsid w:val="00F653E5"/>
    <w:rsid w:val="00F65CCF"/>
    <w:rsid w:val="00F74272"/>
    <w:rsid w:val="00F76D8D"/>
    <w:rsid w:val="00F80215"/>
    <w:rsid w:val="00F82E8F"/>
    <w:rsid w:val="00F8357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B1E"/>
    <w:rsid w:val="00FB7119"/>
    <w:rsid w:val="00FB7D07"/>
    <w:rsid w:val="00FC0E36"/>
    <w:rsid w:val="00FC6063"/>
    <w:rsid w:val="00FC733C"/>
    <w:rsid w:val="00FD32C4"/>
    <w:rsid w:val="00FD4A94"/>
    <w:rsid w:val="00FD5C05"/>
    <w:rsid w:val="00FE034C"/>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D111BB"/>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0"/>
                                              <w:divBdr>
                                                <w:top w:val="none" w:sz="0" w:space="0" w:color="auto"/>
                                                <w:left w:val="none" w:sz="0" w:space="0" w:color="auto"/>
                                                <w:bottom w:val="none" w:sz="0" w:space="0" w:color="auto"/>
                                                <w:right w:val="none" w:sz="0" w:space="0" w:color="auto"/>
                                              </w:divBdr>
                                            </w:div>
                                            <w:div w:id="78452874">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60106758">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130408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filesext.leg.wa.gov/biennium/2017-18/Pdf/Bills/Session%20Laws/House/2669.SL.pdf" TargetMode="External"/><Relationship Id="rId18" Type="http://schemas.openxmlformats.org/officeDocument/2006/relationships/hyperlink" Target="https://apps.leg.wa.gov/WAC/default.aspx?cite=357-19-435" TargetMode="External"/><Relationship Id="rId26" Type="http://schemas.openxmlformats.org/officeDocument/2006/relationships/hyperlink" Target="http://app.leg.wa.gov/RCW/default.aspx?cite=41.06.070" TargetMode="External"/><Relationship Id="rId39" Type="http://schemas.openxmlformats.org/officeDocument/2006/relationships/hyperlink" Target="https://apps.leg.wa.gov/WAC/default.aspx?cite=357-46-010" TargetMode="External"/><Relationship Id="rId21" Type="http://schemas.openxmlformats.org/officeDocument/2006/relationships/hyperlink" Target="http://app.leg.wa.gov/RCW/default.aspx?cite=41.06" TargetMode="External"/><Relationship Id="rId34" Type="http://schemas.openxmlformats.org/officeDocument/2006/relationships/hyperlink" Target="http://app.leg.wa.gov/RCW/default.aspx?cite=41.06.070" TargetMode="External"/><Relationship Id="rId42" Type="http://schemas.openxmlformats.org/officeDocument/2006/relationships/hyperlink" Target="https://apps.leg.wa.gov/WAC/default.aspx?cite=357-31" TargetMode="External"/><Relationship Id="rId47" Type="http://schemas.openxmlformats.org/officeDocument/2006/relationships/hyperlink" Target="https://apps.leg.wa.gov/WAC/default.aspx?cite=357-19-360" TargetMode="External"/><Relationship Id="rId50" Type="http://schemas.openxmlformats.org/officeDocument/2006/relationships/hyperlink" Target="https://apps.leg.wa.gov/WAC/default.aspx?cite=357-19-425" TargetMode="External"/><Relationship Id="rId55" Type="http://schemas.openxmlformats.org/officeDocument/2006/relationships/hyperlink" Target="https://apps.leg.wa.gov/WAC/default.aspx?cite=357-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leg.wa.gov/WAC/default.aspx?cite=357-04-045" TargetMode="External"/><Relationship Id="rId29" Type="http://schemas.openxmlformats.org/officeDocument/2006/relationships/hyperlink" Target="https://apps.leg.wa.gov/WAC/default.aspx?cite=357-04-050" TargetMode="External"/><Relationship Id="rId11" Type="http://schemas.openxmlformats.org/officeDocument/2006/relationships/hyperlink" Target="http://app.leg.wa.gov/RCW/default.aspx?cite=49.44.210" TargetMode="External"/><Relationship Id="rId24" Type="http://schemas.openxmlformats.org/officeDocument/2006/relationships/hyperlink" Target="https://apps.leg.wa.gov/WAC/default.aspx?cite=357-04-050" TargetMode="External"/><Relationship Id="rId32" Type="http://schemas.openxmlformats.org/officeDocument/2006/relationships/hyperlink" Target="https://apps.leg.wa.gov/WAC/default.aspx?cite=357-19-450" TargetMode="External"/><Relationship Id="rId37" Type="http://schemas.openxmlformats.org/officeDocument/2006/relationships/hyperlink" Target="https://apps.leg.wa.gov/WAC/default.aspx?cite=357-04-045" TargetMode="External"/><Relationship Id="rId40" Type="http://schemas.openxmlformats.org/officeDocument/2006/relationships/hyperlink" Target="https://apps.leg.wa.gov/WAC/default.aspx?cite=357-19-435" TargetMode="External"/><Relationship Id="rId45" Type="http://schemas.openxmlformats.org/officeDocument/2006/relationships/hyperlink" Target="http://app.leg.wa.gov/RCW/default.aspx?cite=41.06.070" TargetMode="External"/><Relationship Id="rId53" Type="http://schemas.openxmlformats.org/officeDocument/2006/relationships/hyperlink" Target="https://apps.leg.wa.gov/WAC/default.aspx?cite=357-04-105"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apps.leg.wa.gov/WAC/default.aspx?cite=357-19-435" TargetMode="External"/><Relationship Id="rId14" Type="http://schemas.openxmlformats.org/officeDocument/2006/relationships/hyperlink" Target="https://www.ofm.wa.gov/sites/default/files/public/rulemaking/rules_dev/WSR_19-16-028_CR101.pdf" TargetMode="External"/><Relationship Id="rId22" Type="http://schemas.openxmlformats.org/officeDocument/2006/relationships/hyperlink" Target="https://apps.leg.wa.gov/WAC/default.aspx?cite=357-04-040" TargetMode="External"/><Relationship Id="rId27" Type="http://schemas.openxmlformats.org/officeDocument/2006/relationships/hyperlink" Target="https://apps.leg.wa.gov/WAC/default.aspx?cite=357-04-040" TargetMode="External"/><Relationship Id="rId30" Type="http://schemas.openxmlformats.org/officeDocument/2006/relationships/hyperlink" Target="https://apps.leg.wa.gov/WAC/default.aspx?cite=357-19-440" TargetMode="External"/><Relationship Id="rId35" Type="http://schemas.openxmlformats.org/officeDocument/2006/relationships/hyperlink" Target="https://apps.leg.wa.gov/WAC/default.aspx?cite=357-04-045" TargetMode="External"/><Relationship Id="rId43" Type="http://schemas.openxmlformats.org/officeDocument/2006/relationships/hyperlink" Target="https://apps.leg.wa.gov/WAC/default.aspx?cite=357-28" TargetMode="External"/><Relationship Id="rId48" Type="http://schemas.openxmlformats.org/officeDocument/2006/relationships/hyperlink" Target="https://apps.leg.wa.gov/WAC/default.aspx?cite=357-19-360" TargetMode="External"/><Relationship Id="rId56" Type="http://schemas.openxmlformats.org/officeDocument/2006/relationships/hyperlink" Target="https://apps.leg.wa.gov/WAC/default.aspx?cite=357-52" TargetMode="External"/><Relationship Id="rId8" Type="http://schemas.openxmlformats.org/officeDocument/2006/relationships/hyperlink" Target="http://app.leg.wa.gov/RCW/default.aspx?cite=41.06.020" TargetMode="External"/><Relationship Id="rId51" Type="http://schemas.openxmlformats.org/officeDocument/2006/relationships/hyperlink" Target="https://apps.leg.wa.gov/WAC/default.aspx?cite=357-16" TargetMode="External"/><Relationship Id="rId3" Type="http://schemas.openxmlformats.org/officeDocument/2006/relationships/styles" Target="styles.xml"/><Relationship Id="rId12" Type="http://schemas.openxmlformats.org/officeDocument/2006/relationships/hyperlink" Target="https://apps.leg.wa.gov/RCW/default.aspx?cite=41.06.070" TargetMode="External"/><Relationship Id="rId17" Type="http://schemas.openxmlformats.org/officeDocument/2006/relationships/hyperlink" Target="https://apps.leg.wa.gov/WAC/default.aspx?cite=357-19-450" TargetMode="External"/><Relationship Id="rId25" Type="http://schemas.openxmlformats.org/officeDocument/2006/relationships/hyperlink" Target="https://apps.leg.wa.gov/WAC/default.aspx?cite=357-04-055" TargetMode="External"/><Relationship Id="rId33" Type="http://schemas.openxmlformats.org/officeDocument/2006/relationships/hyperlink" Target="https://apps.leg.wa.gov/WAC/default.aspx?cite=357-04-040" TargetMode="External"/><Relationship Id="rId38" Type="http://schemas.openxmlformats.org/officeDocument/2006/relationships/hyperlink" Target="https://apps.leg.wa.gov/WAC/default.aspx?cite=357-19-435" TargetMode="External"/><Relationship Id="rId46" Type="http://schemas.openxmlformats.org/officeDocument/2006/relationships/hyperlink" Target="https://apps.leg.wa.gov/WAC/default.aspx?cite=357-19-360" TargetMode="External"/><Relationship Id="rId59" Type="http://schemas.openxmlformats.org/officeDocument/2006/relationships/footer" Target="footer1.xml"/><Relationship Id="rId20" Type="http://schemas.openxmlformats.org/officeDocument/2006/relationships/hyperlink" Target="https://apps.leg.wa.gov/WAC/default.aspx?cite=357-19-435" TargetMode="External"/><Relationship Id="rId41" Type="http://schemas.openxmlformats.org/officeDocument/2006/relationships/hyperlink" Target="https://apps.leg.wa.gov/WAC/default.aspx?cite=357-04-040" TargetMode="External"/><Relationship Id="rId54" Type="http://schemas.openxmlformats.org/officeDocument/2006/relationships/hyperlink" Target="https://apps.leg.wa.gov/WAC/default.aspx?cite=357-19-4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wa.gov/WAC/default.aspx?cite=357-19-435" TargetMode="External"/><Relationship Id="rId23" Type="http://schemas.openxmlformats.org/officeDocument/2006/relationships/hyperlink" Target="https://apps.leg.wa.gov/WAC/default.aspx?cite=357-04-045" TargetMode="External"/><Relationship Id="rId28" Type="http://schemas.openxmlformats.org/officeDocument/2006/relationships/hyperlink" Target="https://apps.leg.wa.gov/WAC/default.aspx?cite=357-04-045" TargetMode="External"/><Relationship Id="rId36" Type="http://schemas.openxmlformats.org/officeDocument/2006/relationships/hyperlink" Target="https://apps.leg.wa.gov/WAC/default.aspx?cite=357-16" TargetMode="External"/><Relationship Id="rId49" Type="http://schemas.openxmlformats.org/officeDocument/2006/relationships/hyperlink" Target="https://apps.leg.wa.gov/WAC/default.aspx?cite=357-19-360" TargetMode="External"/><Relationship Id="rId57" Type="http://schemas.openxmlformats.org/officeDocument/2006/relationships/hyperlink" Target="https://apps.leg.wa.gov/WAC/default.aspx?cite=357-19-360" TargetMode="External"/><Relationship Id="rId10" Type="http://schemas.openxmlformats.org/officeDocument/2006/relationships/hyperlink" Target="http://app.leg.wa.gov/RCW/default.aspx?cite=49.44.210" TargetMode="External"/><Relationship Id="rId31" Type="http://schemas.openxmlformats.org/officeDocument/2006/relationships/hyperlink" Target="https://apps.leg.wa.gov/WAC/default.aspx?cite=357-04-040" TargetMode="External"/><Relationship Id="rId44" Type="http://schemas.openxmlformats.org/officeDocument/2006/relationships/hyperlink" Target="https://apps.leg.wa.gov/WAC/default.aspx?cite=357-31-215" TargetMode="External"/><Relationship Id="rId52" Type="http://schemas.openxmlformats.org/officeDocument/2006/relationships/hyperlink" Target="https://apps.leg.wa.gov/WAC/default.aspx?cite=357-1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49.6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706C-52CB-4100-B0E1-8158B567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Rule Review Items – February 11, 2020</vt:lpstr>
    </vt:vector>
  </TitlesOfParts>
  <Company>Office of Financial Management</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February 11, 2020</dc:title>
  <dc:subject/>
  <dc:creator>Goff, Connie (OFM)</dc:creator>
  <cp:keywords/>
  <dc:description/>
  <cp:lastModifiedBy>Chinn, Brandy (OFM)</cp:lastModifiedBy>
  <cp:revision>17</cp:revision>
  <cp:lastPrinted>2020-02-06T20:49:00Z</cp:lastPrinted>
  <dcterms:created xsi:type="dcterms:W3CDTF">2020-02-04T19:38:00Z</dcterms:created>
  <dcterms:modified xsi:type="dcterms:W3CDTF">2020-02-11T16:41:00Z</dcterms:modified>
</cp:coreProperties>
</file>