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2ABF" w14:textId="73408E62" w:rsidR="008C2369" w:rsidRDefault="008C2369" w:rsidP="00FE6771">
      <w:pPr>
        <w:pStyle w:val="Heading1"/>
        <w:spacing w:before="0" w:line="240" w:lineRule="auto"/>
        <w:rPr>
          <w:rFonts w:cs="Arial"/>
          <w:color w:val="FF0000"/>
          <w:szCs w:val="22"/>
          <w:u w:val="single"/>
        </w:rPr>
      </w:pPr>
      <w:bookmarkStart w:id="0" w:name="_Hlk131416663"/>
      <w:bookmarkStart w:id="1" w:name="_Hlk135120398"/>
      <w:r w:rsidRPr="00FE6771">
        <w:rPr>
          <w:rFonts w:cs="Arial"/>
          <w:szCs w:val="22"/>
          <w:u w:val="single"/>
        </w:rPr>
        <w:t xml:space="preserve">Item </w:t>
      </w:r>
      <w:r w:rsidR="00570A36">
        <w:rPr>
          <w:rFonts w:cs="Arial"/>
          <w:szCs w:val="22"/>
          <w:u w:val="single"/>
        </w:rPr>
        <w:t>#</w:t>
      </w:r>
      <w:r w:rsidR="004668B3">
        <w:rPr>
          <w:rFonts w:cs="Arial"/>
          <w:szCs w:val="22"/>
          <w:u w:val="single"/>
        </w:rPr>
        <w:t>1</w:t>
      </w:r>
      <w:r w:rsidRPr="00FE6771">
        <w:rPr>
          <w:rFonts w:cs="Arial"/>
          <w:szCs w:val="22"/>
          <w:u w:val="single"/>
        </w:rPr>
        <w:t xml:space="preserve"> – Redeployment</w:t>
      </w:r>
      <w:r w:rsidRPr="00FE6771">
        <w:rPr>
          <w:rFonts w:cs="Arial"/>
          <w:color w:val="FF0000"/>
          <w:szCs w:val="22"/>
          <w:u w:val="single"/>
        </w:rPr>
        <w:t xml:space="preserve"> </w:t>
      </w:r>
    </w:p>
    <w:p w14:paraId="0740854F" w14:textId="77777777" w:rsidR="00FE6771" w:rsidRPr="00FE6771" w:rsidRDefault="00FE6771" w:rsidP="00FE6771">
      <w:pPr>
        <w:spacing w:after="0"/>
      </w:pPr>
    </w:p>
    <w:p w14:paraId="5235B78E" w14:textId="77777777" w:rsidR="008C2369" w:rsidRPr="00322949" w:rsidRDefault="008C2369" w:rsidP="00FE6771">
      <w:pPr>
        <w:spacing w:after="0" w:line="240" w:lineRule="auto"/>
        <w:rPr>
          <w:rFonts w:ascii="Arial" w:hAnsi="Arial" w:cs="Arial"/>
        </w:rPr>
      </w:pPr>
      <w:r w:rsidRPr="00FE6771">
        <w:rPr>
          <w:rStyle w:val="Heading2Char"/>
        </w:rPr>
        <w:t>Staff note</w:t>
      </w:r>
      <w:bookmarkStart w:id="2" w:name="_Hlk78198779"/>
      <w:r w:rsidRPr="00FE6771">
        <w:rPr>
          <w:rStyle w:val="Heading2Char"/>
        </w:rPr>
        <w:t>:</w:t>
      </w:r>
      <w:r w:rsidRPr="00C61356">
        <w:rPr>
          <w:rFonts w:ascii="Arial" w:hAnsi="Arial" w:cs="Arial"/>
          <w:b/>
        </w:rPr>
        <w:t xml:space="preserve"> </w:t>
      </w:r>
      <w:r w:rsidRPr="00C61356">
        <w:rPr>
          <w:rFonts w:ascii="Arial" w:hAnsi="Arial" w:cs="Arial"/>
        </w:rPr>
        <w:t xml:space="preserve">During the COVID-19 response, some general government employers encountered shortages of employees in segments of their operations, while other agencies have employees with the capacity and skill sets that can be redeployed to address the staffing shortages. The civil service </w:t>
      </w:r>
      <w:r w:rsidRPr="00322949">
        <w:rPr>
          <w:rFonts w:ascii="Arial" w:hAnsi="Arial" w:cs="Arial"/>
        </w:rPr>
        <w:t xml:space="preserve">rules did not address a method to redeploy employees between agencies. As a result, </w:t>
      </w:r>
      <w:bookmarkEnd w:id="2"/>
      <w:r w:rsidRPr="00322949">
        <w:rPr>
          <w:rFonts w:ascii="Arial" w:hAnsi="Arial" w:cs="Arial"/>
        </w:rPr>
        <w:t>a policy decision was made to amend Title 357 WAC, Civil Service Rules, to address employee impacts when the Director grants approval during an emergency or a disaster to allow a general government employer-initiated movement of an employee with the necessary skills, abilities and/or licensure within or between general government employers in the same or different job class with the same or different salary range maximum for a limited duration to support staffing shortages during an emergency or disaster. Given that redeployment is an employer-initiated movement during an emergency or disaster, the following policy decisions were made to minimize general government employee impacts:</w:t>
      </w:r>
    </w:p>
    <w:p w14:paraId="71CF9814" w14:textId="77777777" w:rsidR="008C2369" w:rsidRPr="00322949" w:rsidRDefault="008C2369" w:rsidP="008C2369">
      <w:pPr>
        <w:pStyle w:val="ListParagraph"/>
        <w:numPr>
          <w:ilvl w:val="0"/>
          <w:numId w:val="5"/>
        </w:numPr>
        <w:rPr>
          <w:rStyle w:val="Hyperlink"/>
          <w:rFonts w:ascii="Arial" w:hAnsi="Arial" w:cs="Arial"/>
          <w:color w:val="auto"/>
        </w:rPr>
      </w:pPr>
      <w:r w:rsidRPr="00322949">
        <w:rPr>
          <w:rFonts w:ascii="Arial" w:hAnsi="Arial" w:cs="Arial"/>
        </w:rPr>
        <w:t>If a general government employer has received director approval to redeploy an employee, the movement will be treated as a type of nonpermanent appointment and a general government employer must grant return rights to the same position they held prior to the redeployment at the conclusion</w:t>
      </w:r>
      <w:r w:rsidRPr="00C61356">
        <w:rPr>
          <w:rFonts w:ascii="Arial" w:hAnsi="Arial" w:cs="Arial"/>
        </w:rPr>
        <w:t xml:space="preserve"> of the redeployment. Return rights are not required when an employee is in a nonpermanent appointment at the time of </w:t>
      </w:r>
      <w:r w:rsidRPr="00322949">
        <w:rPr>
          <w:rFonts w:ascii="Arial" w:hAnsi="Arial" w:cs="Arial"/>
        </w:rPr>
        <w:t>redeployment. If there is a need for a general government employer to continue the original nonpermanent appointment, it is allowable in accordance with existing WAC provisions.</w:t>
      </w:r>
    </w:p>
    <w:p w14:paraId="440A1AC5" w14:textId="77777777" w:rsidR="008C2369" w:rsidRDefault="008C2369" w:rsidP="008C2369">
      <w:pPr>
        <w:pStyle w:val="ListParagraph"/>
        <w:numPr>
          <w:ilvl w:val="0"/>
          <w:numId w:val="5"/>
        </w:numPr>
        <w:rPr>
          <w:rStyle w:val="Hyperlink"/>
          <w:rFonts w:ascii="Arial" w:hAnsi="Arial" w:cs="Arial"/>
          <w:color w:val="auto"/>
          <w:u w:val="none"/>
        </w:rPr>
      </w:pPr>
      <w:r w:rsidRPr="00322949">
        <w:rPr>
          <w:rStyle w:val="Hyperlink"/>
          <w:rFonts w:ascii="Arial" w:hAnsi="Arial" w:cs="Arial"/>
          <w:color w:val="auto"/>
          <w:u w:val="none"/>
        </w:rPr>
        <w:t>If a</w:t>
      </w:r>
      <w:r>
        <w:rPr>
          <w:rStyle w:val="Hyperlink"/>
          <w:rFonts w:ascii="Arial" w:hAnsi="Arial" w:cs="Arial"/>
          <w:color w:val="auto"/>
          <w:u w:val="none"/>
        </w:rPr>
        <w:t xml:space="preserve"> general government </w:t>
      </w:r>
      <w:r w:rsidRPr="00322949">
        <w:rPr>
          <w:rStyle w:val="Hyperlink"/>
          <w:rFonts w:ascii="Arial" w:hAnsi="Arial" w:cs="Arial"/>
          <w:color w:val="auto"/>
          <w:u w:val="none"/>
        </w:rPr>
        <w:t>employee is redeployed while serving a probationary period, upon return from redeployment they will resume their probationary period. If the general government employer determines the position the employee was serving a probationary period in and the position the employee was redeployed to are allocated to the same class or classes which are closely related, the general government employer may count the time worked in the nonpermanent appointment toward the probationary period.</w:t>
      </w:r>
    </w:p>
    <w:p w14:paraId="52B1D9CC" w14:textId="7323D95A" w:rsidR="008C2369" w:rsidRPr="00D254A5" w:rsidRDefault="008C2369" w:rsidP="008C2369">
      <w:pPr>
        <w:pStyle w:val="ListParagraph"/>
        <w:numPr>
          <w:ilvl w:val="0"/>
          <w:numId w:val="5"/>
        </w:numPr>
        <w:rPr>
          <w:rStyle w:val="Hyperlink"/>
          <w:rFonts w:ascii="Arial" w:hAnsi="Arial" w:cs="Arial"/>
          <w:color w:val="auto"/>
          <w:highlight w:val="yellow"/>
          <w:u w:val="none"/>
        </w:rPr>
      </w:pPr>
      <w:r w:rsidRPr="00D254A5">
        <w:rPr>
          <w:rStyle w:val="Hyperlink"/>
          <w:rFonts w:ascii="Arial" w:hAnsi="Arial" w:cs="Arial"/>
          <w:color w:val="auto"/>
          <w:highlight w:val="yellow"/>
          <w:u w:val="none"/>
        </w:rPr>
        <w:t xml:space="preserve">If a general government employee is serving a trial service or WMS review period </w:t>
      </w:r>
      <w:r w:rsidR="00870E8F">
        <w:rPr>
          <w:rStyle w:val="Hyperlink"/>
          <w:rFonts w:ascii="Arial" w:hAnsi="Arial" w:cs="Arial"/>
          <w:color w:val="auto"/>
          <w:highlight w:val="yellow"/>
          <w:u w:val="none"/>
        </w:rPr>
        <w:t xml:space="preserve">and </w:t>
      </w:r>
      <w:r w:rsidRPr="00D254A5">
        <w:rPr>
          <w:rStyle w:val="Hyperlink"/>
          <w:rFonts w:ascii="Arial" w:hAnsi="Arial" w:cs="Arial"/>
          <w:color w:val="auto"/>
          <w:highlight w:val="yellow"/>
          <w:u w:val="none"/>
        </w:rPr>
        <w:t>is redeployed</w:t>
      </w:r>
      <w:r w:rsidR="00870E8F">
        <w:rPr>
          <w:rStyle w:val="Hyperlink"/>
          <w:rFonts w:ascii="Arial" w:hAnsi="Arial" w:cs="Arial"/>
          <w:color w:val="auto"/>
          <w:highlight w:val="yellow"/>
          <w:u w:val="none"/>
        </w:rPr>
        <w:t xml:space="preserve"> in a nonpermanent appointment for reason specified in WAC 357-19-360(2)</w:t>
      </w:r>
      <w:r w:rsidRPr="00D254A5">
        <w:rPr>
          <w:rStyle w:val="Hyperlink"/>
          <w:rFonts w:ascii="Arial" w:hAnsi="Arial" w:cs="Arial"/>
          <w:color w:val="auto"/>
          <w:highlight w:val="yellow"/>
          <w:u w:val="none"/>
        </w:rPr>
        <w:t xml:space="preserve">, the employer must count time worked in the nonpermanent appointment towards the trial service or WMS review period for the permanent position.  </w:t>
      </w:r>
    </w:p>
    <w:p w14:paraId="0BFD45F9" w14:textId="77777777" w:rsidR="008C2369" w:rsidRPr="00322949" w:rsidRDefault="008C2369" w:rsidP="008C2369">
      <w:pPr>
        <w:pStyle w:val="ListParagraph"/>
        <w:numPr>
          <w:ilvl w:val="0"/>
          <w:numId w:val="5"/>
        </w:numPr>
        <w:rPr>
          <w:rFonts w:ascii="Arial" w:hAnsi="Arial" w:cs="Arial"/>
        </w:rPr>
      </w:pPr>
      <w:r w:rsidRPr="00322949">
        <w:rPr>
          <w:rFonts w:ascii="Arial" w:hAnsi="Arial" w:cs="Arial"/>
        </w:rPr>
        <w:t xml:space="preserve">An employee may be redeployed to a position within a reasonable commute of the employee’s domicile without the employee’s agreement. If the redeployment is outside of a reasonable commute of the employee’s domicile, the employee must agree to being redeployed. The general government employer initiating the redeployment defines what is within a reasonable commute. </w:t>
      </w:r>
    </w:p>
    <w:p w14:paraId="0E72134A" w14:textId="77777777" w:rsidR="008C2369" w:rsidRPr="00322949" w:rsidRDefault="008C2369" w:rsidP="008C2369">
      <w:pPr>
        <w:rPr>
          <w:rFonts w:ascii="Arial" w:hAnsi="Arial" w:cs="Arial"/>
        </w:rPr>
      </w:pPr>
      <w:r w:rsidRPr="00322949">
        <w:rPr>
          <w:rFonts w:ascii="Arial" w:hAnsi="Arial" w:cs="Arial"/>
        </w:rPr>
        <w:t>The following rule amendments are necessary to implement the above policy decisions when an employee is redeployed:</w:t>
      </w:r>
    </w:p>
    <w:p w14:paraId="495AA957" w14:textId="77777777" w:rsidR="008C2369" w:rsidRPr="00322949" w:rsidRDefault="008C2369" w:rsidP="008C2369">
      <w:pPr>
        <w:pStyle w:val="ListParagraph"/>
        <w:numPr>
          <w:ilvl w:val="0"/>
          <w:numId w:val="4"/>
        </w:numPr>
        <w:rPr>
          <w:rFonts w:ascii="Arial" w:hAnsi="Arial" w:cs="Arial"/>
        </w:rPr>
      </w:pPr>
      <w:r w:rsidRPr="00322949">
        <w:rPr>
          <w:rFonts w:ascii="Arial" w:hAnsi="Arial" w:cs="Arial"/>
        </w:rPr>
        <w:t>Create WAC 357-01-277 to define “redeployment.”</w:t>
      </w:r>
    </w:p>
    <w:p w14:paraId="361F55EF" w14:textId="77777777" w:rsidR="008C2369" w:rsidRPr="00322949" w:rsidRDefault="008C2369" w:rsidP="008C2369">
      <w:pPr>
        <w:pStyle w:val="ListParagraph"/>
        <w:numPr>
          <w:ilvl w:val="0"/>
          <w:numId w:val="4"/>
        </w:numPr>
        <w:rPr>
          <w:rFonts w:ascii="Arial" w:hAnsi="Arial" w:cs="Arial"/>
        </w:rPr>
      </w:pPr>
      <w:r w:rsidRPr="00322949">
        <w:rPr>
          <w:rFonts w:ascii="Arial" w:hAnsi="Arial" w:cs="Arial"/>
        </w:rPr>
        <w:t>Create WAC 357-04-125 to address that during an emergency or disaster, a general government employer may request Director approval to redeploy an employee within or between general government employers for the preservation of public health, safety and ge</w:t>
      </w:r>
      <w:r w:rsidRPr="00322949">
        <w:rPr>
          <w:rFonts w:ascii="Arial" w:eastAsia="Calibri" w:hAnsi="Arial" w:cs="Arial"/>
        </w:rPr>
        <w:t>neral welfare. The employee must have the necessary skills, abilities, and/or licensure in order to be redeployed. For purposes of this section, emergency or disaster has the same meaning in RCW 38.52.</w:t>
      </w:r>
    </w:p>
    <w:p w14:paraId="6B3077CE" w14:textId="77777777" w:rsidR="008C2369" w:rsidRPr="00322949" w:rsidRDefault="008C2369" w:rsidP="008C2369">
      <w:pPr>
        <w:pStyle w:val="ListParagraph"/>
        <w:numPr>
          <w:ilvl w:val="0"/>
          <w:numId w:val="4"/>
        </w:numPr>
        <w:rPr>
          <w:rFonts w:ascii="Arial" w:hAnsi="Arial" w:cs="Arial"/>
        </w:rPr>
      </w:pPr>
      <w:r w:rsidRPr="00322949">
        <w:rPr>
          <w:rFonts w:ascii="Arial" w:eastAsia="Calibri" w:hAnsi="Arial" w:cs="Arial"/>
        </w:rPr>
        <w:lastRenderedPageBreak/>
        <w:t xml:space="preserve">Amend </w:t>
      </w:r>
      <w:hyperlink r:id="rId8" w:history="1">
        <w:r w:rsidRPr="00322949">
          <w:rPr>
            <w:rStyle w:val="Hyperlink"/>
            <w:rFonts w:ascii="Arial" w:eastAsia="Calibri" w:hAnsi="Arial" w:cs="Arial"/>
          </w:rPr>
          <w:t>WAC 357-19-073</w:t>
        </w:r>
      </w:hyperlink>
      <w:r w:rsidRPr="00322949">
        <w:rPr>
          <w:rFonts w:ascii="Arial" w:eastAsia="Calibri" w:hAnsi="Arial" w:cs="Arial"/>
        </w:rPr>
        <w:t xml:space="preserve"> to create subsection (1) and (3) to reflect existing language and clarify that subsection (1) applies when an employee who is serving a probationary period accepts a nonpermanent appointment for reasons specified in WAC 357-19-360(1). Add subsection (2) to address that if a general government employee who is serving a probationary period is redeployed into a nonpermanent appointment for reasons specified in WAC 357-19-360(2) the employer must agree to return the employee to the same position held prior to the redeployment at the conclusion of the redeployment. </w:t>
      </w:r>
    </w:p>
    <w:p w14:paraId="3D710CB4" w14:textId="52D77AC6" w:rsidR="008C2369" w:rsidRPr="00D254A5" w:rsidRDefault="008C2369" w:rsidP="008C2369">
      <w:pPr>
        <w:pStyle w:val="ListParagraph"/>
        <w:numPr>
          <w:ilvl w:val="0"/>
          <w:numId w:val="4"/>
        </w:numPr>
        <w:rPr>
          <w:rFonts w:ascii="Arial" w:hAnsi="Arial" w:cs="Arial"/>
          <w:highlight w:val="yellow"/>
        </w:rPr>
      </w:pPr>
      <w:r w:rsidRPr="00D254A5">
        <w:rPr>
          <w:rFonts w:ascii="Arial" w:hAnsi="Arial" w:cs="Arial"/>
          <w:highlight w:val="yellow"/>
        </w:rPr>
        <w:t xml:space="preserve">Amend </w:t>
      </w:r>
      <w:hyperlink r:id="rId9" w:history="1">
        <w:r w:rsidRPr="00D254A5">
          <w:rPr>
            <w:rStyle w:val="Hyperlink"/>
            <w:rFonts w:ascii="Arial" w:hAnsi="Arial" w:cs="Arial"/>
            <w:highlight w:val="yellow"/>
          </w:rPr>
          <w:t>WAC 357-19-080</w:t>
        </w:r>
      </w:hyperlink>
      <w:r w:rsidRPr="00D254A5">
        <w:rPr>
          <w:rFonts w:ascii="Arial" w:hAnsi="Arial" w:cs="Arial"/>
          <w:highlight w:val="yellow"/>
        </w:rPr>
        <w:t xml:space="preserve"> to create subsection (1) to reflect the existing language. Add subsection (2) to address that if a </w:t>
      </w:r>
      <w:r w:rsidR="008326D3">
        <w:rPr>
          <w:rFonts w:ascii="Arial" w:hAnsi="Arial" w:cs="Arial"/>
          <w:highlight w:val="yellow"/>
        </w:rPr>
        <w:t xml:space="preserve">permanent </w:t>
      </w:r>
      <w:r w:rsidRPr="00D254A5">
        <w:rPr>
          <w:rFonts w:ascii="Arial" w:hAnsi="Arial" w:cs="Arial"/>
          <w:highlight w:val="yellow"/>
        </w:rPr>
        <w:t xml:space="preserve">general government employee is </w:t>
      </w:r>
      <w:r w:rsidR="008326D3">
        <w:rPr>
          <w:rFonts w:ascii="Arial" w:hAnsi="Arial" w:cs="Arial"/>
          <w:highlight w:val="yellow"/>
        </w:rPr>
        <w:t xml:space="preserve">redeployed into a nonpermanent appointment for reasons specified in WAC 357-19-360(2) during </w:t>
      </w:r>
      <w:r w:rsidRPr="00D254A5">
        <w:rPr>
          <w:rFonts w:ascii="Arial" w:hAnsi="Arial" w:cs="Arial"/>
          <w:highlight w:val="yellow"/>
        </w:rPr>
        <w:t>a trial service period the employer must return the employee to the same position held prior to the redeployment and the employer must count time worked in the nonpermanent appointment towards the trial service period for the permanent position. Upon return to their previous position, the employee’s base salary must be set at the step the employee would be at if they had not left the position.</w:t>
      </w:r>
    </w:p>
    <w:p w14:paraId="35011A67" w14:textId="77777777" w:rsidR="008C2369" w:rsidRPr="00D254A5" w:rsidRDefault="008C2369" w:rsidP="008C2369">
      <w:pPr>
        <w:pStyle w:val="ListParagraph"/>
        <w:numPr>
          <w:ilvl w:val="0"/>
          <w:numId w:val="4"/>
        </w:numPr>
        <w:rPr>
          <w:rFonts w:ascii="Arial" w:hAnsi="Arial" w:cs="Arial"/>
          <w:highlight w:val="yellow"/>
        </w:rPr>
      </w:pPr>
      <w:r w:rsidRPr="00D254A5">
        <w:rPr>
          <w:rFonts w:ascii="Arial" w:hAnsi="Arial" w:cs="Arial"/>
          <w:highlight w:val="yellow"/>
        </w:rPr>
        <w:t xml:space="preserve">Amend </w:t>
      </w:r>
      <w:hyperlink r:id="rId10" w:history="1">
        <w:r w:rsidRPr="00D254A5">
          <w:rPr>
            <w:rStyle w:val="Hyperlink"/>
            <w:rFonts w:ascii="Arial" w:hAnsi="Arial" w:cs="Arial"/>
            <w:highlight w:val="yellow"/>
          </w:rPr>
          <w:t>WAC 357-19-085</w:t>
        </w:r>
      </w:hyperlink>
      <w:r w:rsidRPr="00D254A5">
        <w:rPr>
          <w:rFonts w:ascii="Arial" w:hAnsi="Arial" w:cs="Arial"/>
          <w:highlight w:val="yellow"/>
        </w:rPr>
        <w:t xml:space="preserve"> to create subsection (1) to reflect existing language and add subsection (2) to address that if a general government employee in a nonpermanent appointment for reasons specified in WAC 357-19-360(2) is subsequently appointed permanently to a same or similar position, the employer may count time worked in the nonpermanent appointment towards the probationary period and must count time worked in the nonpermanent appointment towards the trial service period for the permanent position. </w:t>
      </w:r>
    </w:p>
    <w:p w14:paraId="065EA010" w14:textId="77777777" w:rsidR="008C2369" w:rsidRPr="00322949" w:rsidRDefault="008C2369" w:rsidP="008C2369">
      <w:pPr>
        <w:pStyle w:val="ListParagraph"/>
        <w:numPr>
          <w:ilvl w:val="0"/>
          <w:numId w:val="4"/>
        </w:numPr>
        <w:rPr>
          <w:rFonts w:ascii="Arial" w:hAnsi="Arial" w:cs="Arial"/>
        </w:rPr>
      </w:pPr>
      <w:r w:rsidRPr="00322949">
        <w:rPr>
          <w:rFonts w:ascii="Arial" w:hAnsi="Arial" w:cs="Arial"/>
        </w:rPr>
        <w:t xml:space="preserve">Amend </w:t>
      </w:r>
      <w:hyperlink r:id="rId11" w:history="1">
        <w:r w:rsidRPr="00322949">
          <w:rPr>
            <w:rStyle w:val="Hyperlink"/>
            <w:rFonts w:ascii="Arial" w:hAnsi="Arial" w:cs="Arial"/>
          </w:rPr>
          <w:t>WAC 357-19-165</w:t>
        </w:r>
      </w:hyperlink>
      <w:r w:rsidRPr="00322949">
        <w:rPr>
          <w:rFonts w:ascii="Arial" w:hAnsi="Arial" w:cs="Arial"/>
        </w:rPr>
        <w:t xml:space="preserve"> to clarify the differences between a reassignment, transfer and redeployment. A redeployment is </w:t>
      </w:r>
      <w:proofErr w:type="gramStart"/>
      <w:r w:rsidRPr="00322949">
        <w:rPr>
          <w:rFonts w:ascii="Arial" w:hAnsi="Arial" w:cs="Arial"/>
        </w:rPr>
        <w:t>an</w:t>
      </w:r>
      <w:proofErr w:type="gramEnd"/>
      <w:r w:rsidRPr="00322949">
        <w:rPr>
          <w:rFonts w:ascii="Arial" w:hAnsi="Arial" w:cs="Arial"/>
        </w:rPr>
        <w:t xml:space="preserve"> general government employer-initiated move of an employee within or between general government employers in the same or different class with the same or difference salary range maximum for a limited duration to support staffing shortages during an emergency or disaster in accordance with WAC 357-04-125.</w:t>
      </w:r>
    </w:p>
    <w:p w14:paraId="772F3397" w14:textId="77777777" w:rsidR="008C2369" w:rsidRPr="00322949" w:rsidRDefault="008C2369" w:rsidP="008C2369">
      <w:pPr>
        <w:pStyle w:val="ListParagraph"/>
        <w:numPr>
          <w:ilvl w:val="0"/>
          <w:numId w:val="4"/>
        </w:numPr>
        <w:rPr>
          <w:rFonts w:ascii="Arial" w:hAnsi="Arial" w:cs="Arial"/>
        </w:rPr>
      </w:pPr>
      <w:r w:rsidRPr="00322949">
        <w:rPr>
          <w:rFonts w:ascii="Arial" w:hAnsi="Arial" w:cs="Arial"/>
        </w:rPr>
        <w:t xml:space="preserve">Create WAC 357-19-179 to address what provisions apply when a general government employee is redeployed to a different geographic area. If the redeployment is within a reasonable commute of the employee’s domicile, the employee may be redeployed without their agreement. If the redeployment is outside of a reasonable commute of the employee’s domicile, they may only be redeployed with the </w:t>
      </w:r>
      <w:proofErr w:type="gramStart"/>
      <w:r w:rsidRPr="00322949">
        <w:rPr>
          <w:rFonts w:ascii="Arial" w:hAnsi="Arial" w:cs="Arial"/>
        </w:rPr>
        <w:t>employees</w:t>
      </w:r>
      <w:proofErr w:type="gramEnd"/>
      <w:r w:rsidRPr="00322949">
        <w:rPr>
          <w:rFonts w:ascii="Arial" w:hAnsi="Arial" w:cs="Arial"/>
        </w:rPr>
        <w:t xml:space="preserve"> consent. The general government employer initiating the redeployment defines what is within a reasonable commute. </w:t>
      </w:r>
    </w:p>
    <w:p w14:paraId="68DB2762" w14:textId="77777777" w:rsidR="008C2369" w:rsidRPr="00322949" w:rsidRDefault="008C2369" w:rsidP="008C2369">
      <w:pPr>
        <w:pStyle w:val="ListParagraph"/>
        <w:numPr>
          <w:ilvl w:val="0"/>
          <w:numId w:val="4"/>
        </w:numPr>
        <w:rPr>
          <w:rFonts w:ascii="Arial" w:hAnsi="Arial" w:cs="Arial"/>
        </w:rPr>
      </w:pPr>
      <w:r w:rsidRPr="00322949">
        <w:rPr>
          <w:rFonts w:ascii="Arial" w:hAnsi="Arial" w:cs="Arial"/>
        </w:rPr>
        <w:t xml:space="preserve">Amend </w:t>
      </w:r>
      <w:hyperlink r:id="rId12" w:history="1">
        <w:r w:rsidRPr="00322949">
          <w:rPr>
            <w:rStyle w:val="Hyperlink"/>
            <w:rFonts w:ascii="Arial" w:hAnsi="Arial" w:cs="Arial"/>
          </w:rPr>
          <w:t>WAC 357-19-353</w:t>
        </w:r>
      </w:hyperlink>
      <w:r w:rsidRPr="00322949">
        <w:rPr>
          <w:rFonts w:ascii="Arial" w:hAnsi="Arial" w:cs="Arial"/>
        </w:rPr>
        <w:t xml:space="preserve"> to remove the word “permanent” from the section title, create subsection (1) to reflect the existing language and reflect gender-neutral references. Add subsection (2) to clarify that at the conclusion of the redeployment a general government employer must return an employee who was redeployed in accordance with WAC 357-58-265(2) to the same WGS position held prior to the redeployment at the conclusion of the redeployment.</w:t>
      </w:r>
    </w:p>
    <w:p w14:paraId="3A82BA6F" w14:textId="77777777" w:rsidR="008C2369" w:rsidRPr="00322949" w:rsidRDefault="008C2369" w:rsidP="008C2369">
      <w:pPr>
        <w:pStyle w:val="ListParagraph"/>
        <w:numPr>
          <w:ilvl w:val="0"/>
          <w:numId w:val="4"/>
        </w:numPr>
        <w:rPr>
          <w:rFonts w:ascii="Arial" w:hAnsi="Arial" w:cs="Arial"/>
        </w:rPr>
      </w:pPr>
      <w:r w:rsidRPr="00322949">
        <w:rPr>
          <w:rFonts w:ascii="Arial" w:hAnsi="Arial" w:cs="Arial"/>
        </w:rPr>
        <w:t xml:space="preserve">Amend </w:t>
      </w:r>
      <w:hyperlink r:id="rId13" w:history="1">
        <w:r w:rsidRPr="00322949">
          <w:rPr>
            <w:rStyle w:val="Hyperlink"/>
            <w:rFonts w:ascii="Arial" w:hAnsi="Arial" w:cs="Arial"/>
          </w:rPr>
          <w:t>WAC 357-19-360</w:t>
        </w:r>
      </w:hyperlink>
      <w:r w:rsidRPr="00322949">
        <w:rPr>
          <w:rFonts w:ascii="Arial" w:hAnsi="Arial" w:cs="Arial"/>
        </w:rPr>
        <w:t xml:space="preserve"> to re-organize existing language to create subsection (1). Add subsection (2) to address that a general government employer may fill a position with a nonpermanent appointment when they have received director approval to redeploy an employee in accordance with WAC 357-04-125.</w:t>
      </w:r>
    </w:p>
    <w:p w14:paraId="00931977" w14:textId="464A836E" w:rsidR="008326D3" w:rsidRPr="00D254A5" w:rsidRDefault="008C2369" w:rsidP="008C2369">
      <w:pPr>
        <w:pStyle w:val="ListParagraph"/>
        <w:numPr>
          <w:ilvl w:val="0"/>
          <w:numId w:val="4"/>
        </w:numPr>
        <w:rPr>
          <w:rFonts w:ascii="Arial" w:hAnsi="Arial" w:cs="Arial"/>
          <w:highlight w:val="yellow"/>
        </w:rPr>
      </w:pPr>
      <w:r w:rsidRPr="00D254A5">
        <w:rPr>
          <w:rFonts w:ascii="Arial" w:hAnsi="Arial" w:cs="Arial"/>
          <w:highlight w:val="yellow"/>
        </w:rPr>
        <w:t xml:space="preserve">Amend </w:t>
      </w:r>
      <w:hyperlink r:id="rId14" w:history="1">
        <w:r w:rsidRPr="00D254A5">
          <w:rPr>
            <w:rStyle w:val="Hyperlink"/>
            <w:rFonts w:ascii="Arial" w:hAnsi="Arial" w:cs="Arial"/>
            <w:highlight w:val="yellow"/>
          </w:rPr>
          <w:t>WAC 357-19-365</w:t>
        </w:r>
      </w:hyperlink>
      <w:r w:rsidRPr="00D254A5">
        <w:rPr>
          <w:rFonts w:ascii="Arial" w:hAnsi="Arial" w:cs="Arial"/>
          <w:highlight w:val="yellow"/>
        </w:rPr>
        <w:t xml:space="preserve"> to </w:t>
      </w:r>
      <w:r w:rsidR="008326D3">
        <w:rPr>
          <w:rFonts w:ascii="Arial" w:hAnsi="Arial" w:cs="Arial"/>
          <w:highlight w:val="yellow"/>
        </w:rPr>
        <w:t>reference the updated WAC citation</w:t>
      </w:r>
      <w:r w:rsidRPr="00D254A5">
        <w:rPr>
          <w:rFonts w:ascii="Arial" w:hAnsi="Arial" w:cs="Arial"/>
          <w:highlight w:val="yellow"/>
        </w:rPr>
        <w:t>.</w:t>
      </w:r>
    </w:p>
    <w:p w14:paraId="10FBBDDA" w14:textId="714F1407" w:rsidR="008C2369" w:rsidRPr="00D254A5" w:rsidRDefault="008C2369" w:rsidP="008C2369">
      <w:pPr>
        <w:pStyle w:val="ListParagraph"/>
        <w:numPr>
          <w:ilvl w:val="0"/>
          <w:numId w:val="4"/>
        </w:numPr>
        <w:rPr>
          <w:rFonts w:ascii="Arial" w:hAnsi="Arial" w:cs="Arial"/>
          <w:highlight w:val="yellow"/>
        </w:rPr>
      </w:pPr>
      <w:r w:rsidRPr="00D254A5">
        <w:rPr>
          <w:rFonts w:ascii="Arial" w:hAnsi="Arial" w:cs="Arial"/>
          <w:highlight w:val="yellow"/>
        </w:rPr>
        <w:lastRenderedPageBreak/>
        <w:t xml:space="preserve">Amend </w:t>
      </w:r>
      <w:hyperlink r:id="rId15" w:history="1">
        <w:r w:rsidRPr="00D254A5">
          <w:rPr>
            <w:rStyle w:val="Hyperlink"/>
            <w:rFonts w:ascii="Arial" w:hAnsi="Arial" w:cs="Arial"/>
            <w:highlight w:val="yellow"/>
          </w:rPr>
          <w:t>WAC 357-19-370</w:t>
        </w:r>
      </w:hyperlink>
      <w:r w:rsidRPr="00D254A5">
        <w:rPr>
          <w:rFonts w:ascii="Arial" w:hAnsi="Arial" w:cs="Arial"/>
          <w:highlight w:val="yellow"/>
        </w:rPr>
        <w:t xml:space="preserve"> to clarify subsection (1) applies to existing language. Amend subsection (2) to </w:t>
      </w:r>
      <w:r w:rsidR="008326D3">
        <w:rPr>
          <w:rFonts w:ascii="Arial" w:hAnsi="Arial" w:cs="Arial"/>
          <w:highlight w:val="yellow"/>
        </w:rPr>
        <w:t>reference the updated WAC citation</w:t>
      </w:r>
      <w:r w:rsidRPr="00D254A5">
        <w:rPr>
          <w:rFonts w:ascii="Arial" w:hAnsi="Arial" w:cs="Arial"/>
          <w:highlight w:val="yellow"/>
        </w:rPr>
        <w:t xml:space="preserve">. Create subsection (3) to </w:t>
      </w:r>
      <w:r w:rsidR="008326D3">
        <w:rPr>
          <w:rFonts w:ascii="Arial" w:hAnsi="Arial" w:cs="Arial"/>
          <w:highlight w:val="yellow"/>
        </w:rPr>
        <w:t xml:space="preserve">state </w:t>
      </w:r>
      <w:r w:rsidRPr="00D254A5">
        <w:rPr>
          <w:rFonts w:ascii="Arial" w:hAnsi="Arial" w:cs="Arial"/>
          <w:highlight w:val="yellow"/>
        </w:rPr>
        <w:t xml:space="preserve">that </w:t>
      </w:r>
      <w:r w:rsidR="008326D3">
        <w:rPr>
          <w:rFonts w:ascii="Arial" w:hAnsi="Arial" w:cs="Arial"/>
          <w:highlight w:val="yellow"/>
        </w:rPr>
        <w:t xml:space="preserve">a </w:t>
      </w:r>
      <w:r w:rsidRPr="00D254A5">
        <w:rPr>
          <w:rFonts w:ascii="Arial" w:hAnsi="Arial" w:cs="Arial"/>
          <w:highlight w:val="yellow"/>
        </w:rPr>
        <w:t xml:space="preserve">nonpermanent appointment specified in WAC 357-19-360(2) </w:t>
      </w:r>
      <w:r w:rsidR="008326D3">
        <w:rPr>
          <w:rFonts w:ascii="Arial" w:hAnsi="Arial" w:cs="Arial"/>
          <w:highlight w:val="yellow"/>
        </w:rPr>
        <w:t>must</w:t>
      </w:r>
      <w:r w:rsidRPr="00D254A5">
        <w:rPr>
          <w:rFonts w:ascii="Arial" w:hAnsi="Arial" w:cs="Arial"/>
          <w:highlight w:val="yellow"/>
        </w:rPr>
        <w:t xml:space="preserve"> not exceed three months unless a longer duration is mutually agreed upon between the employee and general government employer(s) and conditions continue to </w:t>
      </w:r>
      <w:proofErr w:type="gramStart"/>
      <w:r w:rsidRPr="00D254A5">
        <w:rPr>
          <w:rFonts w:ascii="Arial" w:hAnsi="Arial" w:cs="Arial"/>
          <w:highlight w:val="yellow"/>
        </w:rPr>
        <w:t>existing</w:t>
      </w:r>
      <w:proofErr w:type="gramEnd"/>
      <w:r w:rsidRPr="00D254A5">
        <w:rPr>
          <w:rFonts w:ascii="Arial" w:hAnsi="Arial" w:cs="Arial"/>
          <w:highlight w:val="yellow"/>
        </w:rPr>
        <w:t xml:space="preserve"> in accordance with WAC 357-04-125.</w:t>
      </w:r>
    </w:p>
    <w:p w14:paraId="24AF1A08" w14:textId="77777777" w:rsidR="008C2369" w:rsidRPr="00322949" w:rsidRDefault="008C2369" w:rsidP="008C2369">
      <w:pPr>
        <w:pStyle w:val="ListParagraph"/>
        <w:numPr>
          <w:ilvl w:val="0"/>
          <w:numId w:val="4"/>
        </w:numPr>
        <w:rPr>
          <w:rFonts w:ascii="Arial" w:hAnsi="Arial" w:cs="Arial"/>
        </w:rPr>
      </w:pPr>
      <w:r w:rsidRPr="00322949">
        <w:rPr>
          <w:rFonts w:ascii="Arial" w:hAnsi="Arial" w:cs="Arial"/>
        </w:rPr>
        <w:t xml:space="preserve">Amend </w:t>
      </w:r>
      <w:hyperlink r:id="rId16" w:history="1">
        <w:r w:rsidRPr="00322949">
          <w:rPr>
            <w:rStyle w:val="Hyperlink"/>
            <w:rFonts w:ascii="Arial" w:hAnsi="Arial" w:cs="Arial"/>
          </w:rPr>
          <w:t>WAC 357-19-388</w:t>
        </w:r>
      </w:hyperlink>
      <w:r w:rsidRPr="00322949">
        <w:rPr>
          <w:rFonts w:ascii="Arial" w:hAnsi="Arial" w:cs="Arial"/>
        </w:rPr>
        <w:t xml:space="preserve"> to clarify that the notice requirement between employees and employers when an employee accepts a nonpermanent appointment is limited to reasons specified in WAC 357-19-360(1).</w:t>
      </w:r>
    </w:p>
    <w:p w14:paraId="6C866378" w14:textId="77777777" w:rsidR="008C2369" w:rsidRPr="00322949" w:rsidRDefault="008C2369" w:rsidP="008C2369">
      <w:pPr>
        <w:pStyle w:val="ListParagraph"/>
        <w:numPr>
          <w:ilvl w:val="0"/>
          <w:numId w:val="4"/>
        </w:numPr>
        <w:rPr>
          <w:rFonts w:ascii="Arial" w:hAnsi="Arial" w:cs="Arial"/>
        </w:rPr>
      </w:pPr>
      <w:r w:rsidRPr="00322949">
        <w:rPr>
          <w:rFonts w:ascii="Arial" w:hAnsi="Arial" w:cs="Arial"/>
        </w:rPr>
        <w:t xml:space="preserve">Amend </w:t>
      </w:r>
      <w:hyperlink r:id="rId17" w:history="1">
        <w:r w:rsidRPr="00322949">
          <w:rPr>
            <w:rStyle w:val="Hyperlink"/>
            <w:rFonts w:ascii="Arial" w:hAnsi="Arial" w:cs="Arial"/>
          </w:rPr>
          <w:t>WAC 357-19-395</w:t>
        </w:r>
      </w:hyperlink>
      <w:r w:rsidRPr="00322949">
        <w:rPr>
          <w:rFonts w:ascii="Arial" w:hAnsi="Arial" w:cs="Arial"/>
        </w:rPr>
        <w:t xml:space="preserve"> to remove the word “permanent” from the section title, create subsection (1) for existing language and clarify subsection (1) applies for nonpermanent appointments made for reasons specified in WAC 357-19-360(1). Create subsection (2) to address that for nonpermanent appointments made for reasons specified in WAC 357-19-360(2) the general government employee must be returned to the same position held prior to the redeployment. Upon return to a position, the employee’s base salary must be set at the step the employee would be at if they had not left the position.</w:t>
      </w:r>
    </w:p>
    <w:p w14:paraId="7AA2E621" w14:textId="5279939E" w:rsidR="008C2369" w:rsidRPr="00D254A5" w:rsidRDefault="008C2369" w:rsidP="008C2369">
      <w:pPr>
        <w:pStyle w:val="ListParagraph"/>
        <w:numPr>
          <w:ilvl w:val="0"/>
          <w:numId w:val="4"/>
        </w:numPr>
        <w:rPr>
          <w:rFonts w:ascii="Arial" w:hAnsi="Arial" w:cs="Arial"/>
          <w:highlight w:val="yellow"/>
        </w:rPr>
      </w:pPr>
      <w:r w:rsidRPr="00D254A5">
        <w:rPr>
          <w:rFonts w:ascii="Arial" w:hAnsi="Arial" w:cs="Arial"/>
          <w:highlight w:val="yellow"/>
        </w:rPr>
        <w:t xml:space="preserve">Amend </w:t>
      </w:r>
      <w:hyperlink r:id="rId18" w:history="1">
        <w:r w:rsidRPr="00D254A5">
          <w:rPr>
            <w:rStyle w:val="Hyperlink"/>
            <w:rFonts w:ascii="Arial" w:hAnsi="Arial" w:cs="Arial"/>
            <w:highlight w:val="yellow"/>
          </w:rPr>
          <w:t>WAC 357-19-430</w:t>
        </w:r>
      </w:hyperlink>
      <w:r w:rsidRPr="00D254A5">
        <w:rPr>
          <w:rFonts w:ascii="Arial" w:hAnsi="Arial" w:cs="Arial"/>
          <w:highlight w:val="yellow"/>
        </w:rPr>
        <w:t xml:space="preserve"> to </w:t>
      </w:r>
      <w:r w:rsidR="008326D3">
        <w:rPr>
          <w:rFonts w:ascii="Arial" w:hAnsi="Arial" w:cs="Arial"/>
          <w:highlight w:val="yellow"/>
        </w:rPr>
        <w:t>reference the updated WAC citation</w:t>
      </w:r>
      <w:r w:rsidRPr="00D254A5">
        <w:rPr>
          <w:rFonts w:ascii="Arial" w:hAnsi="Arial" w:cs="Arial"/>
          <w:highlight w:val="yellow"/>
        </w:rPr>
        <w:t>.</w:t>
      </w:r>
    </w:p>
    <w:p w14:paraId="566383C9" w14:textId="289C50B4" w:rsidR="008C2369" w:rsidRPr="00322949" w:rsidRDefault="008C2369" w:rsidP="008C2369">
      <w:pPr>
        <w:pStyle w:val="ListParagraph"/>
        <w:numPr>
          <w:ilvl w:val="0"/>
          <w:numId w:val="4"/>
        </w:numPr>
        <w:rPr>
          <w:rFonts w:ascii="Arial" w:hAnsi="Arial" w:cs="Arial"/>
        </w:rPr>
      </w:pPr>
      <w:r w:rsidRPr="00322949">
        <w:rPr>
          <w:rFonts w:ascii="Arial" w:hAnsi="Arial" w:cs="Arial"/>
        </w:rPr>
        <w:t>Create WAC 357-28-184 to address how a general government employee’s salary is determined when the employee is redeployed for reasons specified in WAC 357-19-360(2). An employee who is redeployed to a position with the same salary range keeps the same base salary. An employee who is redeployed to a position with a lower salary range maximum must be placed within the new range at a salary equal to the employee’s previous base salary. If the employee’s previous base salary exceeds the new salary range, the employee’s base salary may be set higher than step M but not exceeding their prior base salary. An employee who is redeployed to a position with a higher salary range must have their salary set in accordance with WAC 357-28-110.</w:t>
      </w:r>
    </w:p>
    <w:p w14:paraId="42C3A357" w14:textId="77777777" w:rsidR="008C2369" w:rsidRPr="00322949" w:rsidRDefault="008C2369" w:rsidP="008C2369">
      <w:pPr>
        <w:pStyle w:val="ListParagraph"/>
        <w:numPr>
          <w:ilvl w:val="0"/>
          <w:numId w:val="4"/>
        </w:numPr>
        <w:rPr>
          <w:rFonts w:ascii="Arial" w:hAnsi="Arial" w:cs="Arial"/>
        </w:rPr>
      </w:pPr>
      <w:r w:rsidRPr="00322949">
        <w:rPr>
          <w:rFonts w:ascii="Arial" w:hAnsi="Arial" w:cs="Arial"/>
        </w:rPr>
        <w:t xml:space="preserve">Amend </w:t>
      </w:r>
      <w:hyperlink r:id="rId19" w:history="1">
        <w:r w:rsidRPr="00322949">
          <w:rPr>
            <w:rStyle w:val="Hyperlink"/>
            <w:rFonts w:ascii="Arial" w:hAnsi="Arial" w:cs="Arial"/>
          </w:rPr>
          <w:t>WAC 357-58-065</w:t>
        </w:r>
      </w:hyperlink>
      <w:r w:rsidRPr="00322949">
        <w:rPr>
          <w:rFonts w:ascii="Arial" w:hAnsi="Arial" w:cs="Arial"/>
        </w:rPr>
        <w:t xml:space="preserve"> to add subsection (12) to define “Redeployment” and renumber associated WACs.</w:t>
      </w:r>
    </w:p>
    <w:p w14:paraId="665E1AF8" w14:textId="77777777" w:rsidR="008C2369" w:rsidRPr="00322949" w:rsidRDefault="008C2369" w:rsidP="008C2369">
      <w:pPr>
        <w:pStyle w:val="ListParagraph"/>
        <w:numPr>
          <w:ilvl w:val="0"/>
          <w:numId w:val="4"/>
        </w:numPr>
        <w:rPr>
          <w:rFonts w:ascii="Arial" w:hAnsi="Arial" w:cs="Arial"/>
        </w:rPr>
      </w:pPr>
      <w:r w:rsidRPr="00322949">
        <w:rPr>
          <w:rFonts w:ascii="Arial" w:hAnsi="Arial" w:cs="Arial"/>
        </w:rPr>
        <w:t xml:space="preserve">Create WAC 357-58-128 to address how a WMS employee’s salary is determined when the employee is redeployed for reasons specified in WAC 357-58-265(2). A WMS employee who is redeployed to a position with the same salary standard keeps the same base salary. A WMS employee who is redeployed to a position with a lower salary standard maximum must be placed within the new salary standard as a salary equal to the employee’s previous base salary. If the previous base salary exceeds the new salary standard, the employee’s salary may be set higher than the associated salary standard but not exceeding their prior base salary. A WMS employee who is redeployed to a position with a higher salary standard must receive a salary increase nearest to five percent (5%) or up to the minimum of the new salary standard, whichever is greatest, not to exceed the new management band maximum. </w:t>
      </w:r>
    </w:p>
    <w:p w14:paraId="433D782E" w14:textId="77777777" w:rsidR="008C2369" w:rsidRPr="00322949" w:rsidRDefault="008C2369" w:rsidP="008C2369">
      <w:pPr>
        <w:pStyle w:val="ListParagraph"/>
        <w:numPr>
          <w:ilvl w:val="0"/>
          <w:numId w:val="4"/>
        </w:numPr>
        <w:rPr>
          <w:rFonts w:ascii="Arial" w:hAnsi="Arial" w:cs="Arial"/>
        </w:rPr>
      </w:pPr>
      <w:r w:rsidRPr="00322949">
        <w:rPr>
          <w:rFonts w:ascii="Arial" w:hAnsi="Arial" w:cs="Arial"/>
        </w:rPr>
        <w:t xml:space="preserve">Amend </w:t>
      </w:r>
      <w:hyperlink r:id="rId20" w:history="1">
        <w:r w:rsidRPr="00322949">
          <w:rPr>
            <w:rStyle w:val="Hyperlink"/>
            <w:rFonts w:ascii="Arial" w:hAnsi="Arial" w:cs="Arial"/>
          </w:rPr>
          <w:t>WAC 357-58-225</w:t>
        </w:r>
      </w:hyperlink>
      <w:r w:rsidRPr="00322949">
        <w:rPr>
          <w:rFonts w:ascii="Arial" w:hAnsi="Arial" w:cs="Arial"/>
        </w:rPr>
        <w:t xml:space="preserve"> to remove the word “permanent” from the section title, create subsection (1) for existing language and clarify that subsection (1) applies for nonpermanent appointments for reasons specified in WAC 357-19-360(1). Add subsection (2) to address that nonpermanent appointments made for reasons listed in WAC 357-19-360(2) the general government employee must be returned to the same position held prior to redeployment. Upon return to their previous position, the employee’s base salary is set as if the employee had not left the position.</w:t>
      </w:r>
    </w:p>
    <w:p w14:paraId="28385F9E" w14:textId="2DC2FDF7" w:rsidR="008C2369" w:rsidRPr="000B5645" w:rsidRDefault="008C2369" w:rsidP="008C2369">
      <w:pPr>
        <w:pStyle w:val="ListParagraph"/>
        <w:numPr>
          <w:ilvl w:val="0"/>
          <w:numId w:val="4"/>
        </w:numPr>
        <w:rPr>
          <w:rFonts w:ascii="Arial" w:hAnsi="Arial" w:cs="Arial"/>
          <w:highlight w:val="yellow"/>
        </w:rPr>
      </w:pPr>
      <w:r w:rsidRPr="000B5645">
        <w:rPr>
          <w:rFonts w:ascii="Arial" w:hAnsi="Arial" w:cs="Arial"/>
          <w:highlight w:val="yellow"/>
        </w:rPr>
        <w:lastRenderedPageBreak/>
        <w:t xml:space="preserve">Amend </w:t>
      </w:r>
      <w:hyperlink r:id="rId21" w:history="1">
        <w:r w:rsidRPr="006E68AA">
          <w:rPr>
            <w:rStyle w:val="Hyperlink"/>
            <w:rFonts w:ascii="Arial" w:hAnsi="Arial" w:cs="Arial"/>
            <w:highlight w:val="yellow"/>
          </w:rPr>
          <w:t>WAC 357-58-226</w:t>
        </w:r>
      </w:hyperlink>
      <w:r w:rsidRPr="000B5645">
        <w:rPr>
          <w:rFonts w:ascii="Arial" w:hAnsi="Arial" w:cs="Arial"/>
          <w:highlight w:val="yellow"/>
        </w:rPr>
        <w:t xml:space="preserve"> to remove “the same or different” from the section title, create subsection (1) for existing language and clarify subsection (1) applies for nonpermanent appointments made for reasons specified in WAC 357-19-360(1).</w:t>
      </w:r>
      <w:r>
        <w:rPr>
          <w:rFonts w:ascii="Arial" w:hAnsi="Arial" w:cs="Arial"/>
          <w:highlight w:val="yellow"/>
        </w:rPr>
        <w:t xml:space="preserve"> Add subsection (2) to address that if a WMS employee who is serving a review period is redeployed into a WGS nonpermanent appointment </w:t>
      </w:r>
      <w:r w:rsidR="008326D3">
        <w:rPr>
          <w:rFonts w:ascii="Arial" w:hAnsi="Arial" w:cs="Arial"/>
          <w:highlight w:val="yellow"/>
        </w:rPr>
        <w:t xml:space="preserve">in accordance with </w:t>
      </w:r>
      <w:r>
        <w:rPr>
          <w:rFonts w:ascii="Arial" w:hAnsi="Arial" w:cs="Arial"/>
          <w:highlight w:val="yellow"/>
        </w:rPr>
        <w:t xml:space="preserve">WAC 357-19-360(2) the employer must return the employee to the same position held prior to the redeployment at the conclusion of the redeployment and </w:t>
      </w:r>
      <w:r w:rsidR="008326D3">
        <w:rPr>
          <w:rFonts w:ascii="Arial" w:hAnsi="Arial" w:cs="Arial"/>
          <w:highlight w:val="yellow"/>
        </w:rPr>
        <w:t xml:space="preserve">require </w:t>
      </w:r>
      <w:r>
        <w:rPr>
          <w:rFonts w:ascii="Arial" w:hAnsi="Arial" w:cs="Arial"/>
          <w:highlight w:val="yellow"/>
        </w:rPr>
        <w:t xml:space="preserve">the employer </w:t>
      </w:r>
      <w:r w:rsidR="008326D3">
        <w:rPr>
          <w:rFonts w:ascii="Arial" w:hAnsi="Arial" w:cs="Arial"/>
          <w:highlight w:val="yellow"/>
        </w:rPr>
        <w:t>to</w:t>
      </w:r>
      <w:r>
        <w:rPr>
          <w:rFonts w:ascii="Arial" w:hAnsi="Arial" w:cs="Arial"/>
          <w:highlight w:val="yellow"/>
        </w:rPr>
        <w:t xml:space="preserve"> count time worked in the nonpermanent appointment towards the completion of the review period for the permanent position.</w:t>
      </w:r>
    </w:p>
    <w:p w14:paraId="15B90140" w14:textId="77777777" w:rsidR="008C2369" w:rsidRPr="00322949" w:rsidRDefault="008C2369" w:rsidP="008C2369">
      <w:pPr>
        <w:pStyle w:val="ListParagraph"/>
        <w:numPr>
          <w:ilvl w:val="0"/>
          <w:numId w:val="4"/>
        </w:numPr>
        <w:rPr>
          <w:rFonts w:ascii="Arial" w:hAnsi="Arial" w:cs="Arial"/>
        </w:rPr>
      </w:pPr>
      <w:r w:rsidRPr="00322949">
        <w:rPr>
          <w:rFonts w:ascii="Arial" w:hAnsi="Arial" w:cs="Arial"/>
        </w:rPr>
        <w:t xml:space="preserve">Amend </w:t>
      </w:r>
      <w:hyperlink r:id="rId22" w:history="1">
        <w:r w:rsidRPr="00322949">
          <w:rPr>
            <w:rStyle w:val="Hyperlink"/>
            <w:rFonts w:ascii="Arial" w:hAnsi="Arial" w:cs="Arial"/>
          </w:rPr>
          <w:t>WAC 357-58-265</w:t>
        </w:r>
      </w:hyperlink>
      <w:r w:rsidRPr="00322949">
        <w:rPr>
          <w:rFonts w:ascii="Arial" w:hAnsi="Arial" w:cs="Arial"/>
        </w:rPr>
        <w:t xml:space="preserve"> to create subsection (1) for existing language and add subsection (2) to address that an general government employer may make an acting WMS appointment when approval has been granted to redeployee an employee in accordance with WAC 357-04-125.</w:t>
      </w:r>
    </w:p>
    <w:p w14:paraId="7571A759" w14:textId="77777777" w:rsidR="008C2369" w:rsidRPr="006E68AA" w:rsidRDefault="008C2369" w:rsidP="008C2369">
      <w:pPr>
        <w:pStyle w:val="ListParagraph"/>
        <w:numPr>
          <w:ilvl w:val="0"/>
          <w:numId w:val="4"/>
        </w:numPr>
        <w:rPr>
          <w:rFonts w:ascii="Arial" w:hAnsi="Arial" w:cs="Arial"/>
          <w:highlight w:val="yellow"/>
        </w:rPr>
      </w:pPr>
      <w:r w:rsidRPr="006E68AA">
        <w:rPr>
          <w:rFonts w:ascii="Arial" w:hAnsi="Arial" w:cs="Arial"/>
          <w:highlight w:val="yellow"/>
        </w:rPr>
        <w:t xml:space="preserve">Amend </w:t>
      </w:r>
      <w:hyperlink r:id="rId23" w:history="1">
        <w:r w:rsidRPr="006E68AA">
          <w:rPr>
            <w:rStyle w:val="Hyperlink"/>
            <w:rFonts w:ascii="Arial" w:hAnsi="Arial" w:cs="Arial"/>
            <w:highlight w:val="yellow"/>
          </w:rPr>
          <w:t>WAC 357-58-270</w:t>
        </w:r>
      </w:hyperlink>
      <w:r w:rsidRPr="006E68AA">
        <w:rPr>
          <w:rFonts w:ascii="Arial" w:hAnsi="Arial" w:cs="Arial"/>
          <w:highlight w:val="yellow"/>
        </w:rPr>
        <w:t xml:space="preserve"> to create subsection (1) for existing language and clarify that subsection (1) applies for nonpermanent appointments for reasons specified in WAC 357-58-265(1). Add subsection (2) to address that when an individual is in an acting WMS appointment for reasons specified in WAC 357-58-265(2) is subsequently appointed to a same or similar permanent WMS position, time spent in the acting appointment must count towards the review period for the permanent WMS position.</w:t>
      </w:r>
    </w:p>
    <w:p w14:paraId="242DFCE4" w14:textId="5076CB18" w:rsidR="008C2369" w:rsidRPr="00322949" w:rsidRDefault="008C2369" w:rsidP="008C2369">
      <w:pPr>
        <w:pStyle w:val="ListParagraph"/>
        <w:numPr>
          <w:ilvl w:val="0"/>
          <w:numId w:val="4"/>
        </w:numPr>
        <w:rPr>
          <w:rFonts w:ascii="Arial" w:hAnsi="Arial" w:cs="Arial"/>
        </w:rPr>
      </w:pPr>
      <w:r w:rsidRPr="00322949">
        <w:rPr>
          <w:rFonts w:ascii="Arial" w:hAnsi="Arial" w:cs="Arial"/>
        </w:rPr>
        <w:t xml:space="preserve">Amend </w:t>
      </w:r>
      <w:hyperlink r:id="rId24" w:history="1">
        <w:r w:rsidRPr="00322949">
          <w:rPr>
            <w:rStyle w:val="Hyperlink"/>
            <w:rFonts w:ascii="Arial" w:hAnsi="Arial" w:cs="Arial"/>
          </w:rPr>
          <w:t>WAC 357-58-275</w:t>
        </w:r>
      </w:hyperlink>
      <w:r w:rsidRPr="00322949">
        <w:rPr>
          <w:rFonts w:ascii="Arial" w:hAnsi="Arial" w:cs="Arial"/>
        </w:rPr>
        <w:t xml:space="preserve"> to remove the word “permanent” from the section title, create subsection (1) for existing language and create subsection (2) to clarify when a WMS employee has been redeployed into an acting WMS </w:t>
      </w:r>
      <w:r w:rsidR="00793DDE" w:rsidRPr="00793DDE">
        <w:rPr>
          <w:rFonts w:ascii="Arial" w:hAnsi="Arial" w:cs="Arial"/>
          <w:highlight w:val="yellow"/>
        </w:rPr>
        <w:t>appointment</w:t>
      </w:r>
      <w:r w:rsidRPr="00322949">
        <w:rPr>
          <w:rFonts w:ascii="Arial" w:hAnsi="Arial" w:cs="Arial"/>
        </w:rPr>
        <w:t xml:space="preserve"> the employee must be returned to the same position held prior to the redeployment at the conclusion of the acting appointment. </w:t>
      </w:r>
    </w:p>
    <w:p w14:paraId="134B7E8A" w14:textId="77777777" w:rsidR="008C2369" w:rsidRPr="00322949" w:rsidRDefault="008C2369" w:rsidP="008C2369">
      <w:pPr>
        <w:spacing w:after="0" w:line="240" w:lineRule="auto"/>
        <w:ind w:left="360"/>
        <w:rPr>
          <w:rFonts w:ascii="Arial" w:hAnsi="Arial" w:cs="Arial"/>
          <w:bCs/>
        </w:rPr>
      </w:pPr>
      <w:r w:rsidRPr="00D254A5">
        <w:rPr>
          <w:rFonts w:ascii="Arial" w:hAnsi="Arial" w:cs="Arial"/>
          <w:bCs/>
          <w:highlight w:val="yellow"/>
        </w:rPr>
        <w:t>The highlighted yellow text indicates changes since the September 19, 2023, Rules Review Meeting based on stakeholder feedback and newly added WACs.</w:t>
      </w:r>
    </w:p>
    <w:p w14:paraId="52422117" w14:textId="77777777" w:rsidR="008C2369" w:rsidRPr="00322949" w:rsidRDefault="008C2369" w:rsidP="008C2369">
      <w:pPr>
        <w:spacing w:after="0" w:line="240" w:lineRule="auto"/>
        <w:ind w:left="360"/>
        <w:rPr>
          <w:rFonts w:ascii="Arial" w:hAnsi="Arial" w:cs="Arial"/>
          <w:bCs/>
        </w:rPr>
      </w:pPr>
    </w:p>
    <w:p w14:paraId="111DAE49" w14:textId="77777777" w:rsidR="00F66F77" w:rsidRDefault="008C2369" w:rsidP="00F66F77">
      <w:pPr>
        <w:spacing w:after="0"/>
        <w:rPr>
          <w:rFonts w:ascii="Arial" w:hAnsi="Arial" w:cs="Arial"/>
        </w:rPr>
      </w:pPr>
      <w:r w:rsidRPr="00322949">
        <w:rPr>
          <w:rFonts w:ascii="Arial" w:hAnsi="Arial" w:cs="Arial"/>
        </w:rPr>
        <w:t>Lead: Brittany Trujillo</w:t>
      </w:r>
      <w:bookmarkStart w:id="3" w:name="_Hlk112135251"/>
      <w:bookmarkStart w:id="4" w:name="_Hlk142980166"/>
      <w:bookmarkStart w:id="5" w:name="_Hlk142898899"/>
    </w:p>
    <w:p w14:paraId="42C88C52" w14:textId="77777777" w:rsidR="00F66F77" w:rsidRDefault="00F66F77" w:rsidP="00F66F77">
      <w:pPr>
        <w:spacing w:after="0"/>
        <w:rPr>
          <w:rFonts w:ascii="Arial" w:hAnsi="Arial" w:cs="Arial"/>
        </w:rPr>
      </w:pPr>
    </w:p>
    <w:p w14:paraId="20F1792C" w14:textId="77777777" w:rsidR="00F66F77" w:rsidRDefault="00F66F77" w:rsidP="00F66F77">
      <w:pPr>
        <w:spacing w:after="0" w:line="240" w:lineRule="auto"/>
        <w:rPr>
          <w:rFonts w:ascii="Arial" w:hAnsi="Arial" w:cs="Arial"/>
        </w:rPr>
      </w:pPr>
    </w:p>
    <w:p w14:paraId="6279D5DE" w14:textId="17B9F7DE" w:rsidR="008C2369" w:rsidRPr="00F66F77" w:rsidRDefault="008C2369" w:rsidP="00F66F77">
      <w:pPr>
        <w:pStyle w:val="Heading3"/>
        <w:spacing w:beforeAutospacing="0"/>
        <w:rPr>
          <w:rFonts w:eastAsia="Calibri" w:cs="Arial"/>
          <w:szCs w:val="22"/>
        </w:rPr>
      </w:pPr>
      <w:r w:rsidRPr="00F66F77">
        <w:rPr>
          <w:rFonts w:eastAsia="Calibri" w:cs="Arial"/>
          <w:szCs w:val="22"/>
        </w:rPr>
        <w:t>WAC 357-01 Definitions:</w:t>
      </w:r>
      <w:bookmarkStart w:id="6" w:name="_Hlk142568253"/>
    </w:p>
    <w:p w14:paraId="770EA001" w14:textId="3F9A00A9" w:rsidR="008C2369" w:rsidRPr="00322949" w:rsidRDefault="008C2369" w:rsidP="00F66F77">
      <w:pPr>
        <w:spacing w:line="240" w:lineRule="auto"/>
        <w:rPr>
          <w:rFonts w:ascii="Arial" w:eastAsia="Calibri" w:hAnsi="Arial" w:cs="Arial"/>
          <w:b/>
          <w:bCs/>
          <w:u w:val="single"/>
        </w:rPr>
      </w:pPr>
      <w:r w:rsidRPr="00322949">
        <w:rPr>
          <w:rFonts w:ascii="Arial" w:eastAsia="Calibri" w:hAnsi="Arial" w:cs="Arial"/>
          <w:b/>
          <w:bCs/>
          <w:u w:val="single"/>
        </w:rPr>
        <w:t>NEW SECTION</w:t>
      </w:r>
    </w:p>
    <w:p w14:paraId="071D37F5" w14:textId="77777777" w:rsidR="008C2369" w:rsidRPr="00322949" w:rsidRDefault="008C2369" w:rsidP="008C2369">
      <w:pPr>
        <w:pStyle w:val="Heading3"/>
        <w:rPr>
          <w:rFonts w:eastAsia="Calibri" w:cs="Arial"/>
          <w:szCs w:val="22"/>
          <w:u w:val="single"/>
        </w:rPr>
      </w:pPr>
      <w:r w:rsidRPr="00322949">
        <w:rPr>
          <w:rFonts w:eastAsia="Calibri" w:cs="Arial"/>
          <w:szCs w:val="22"/>
          <w:u w:val="single"/>
        </w:rPr>
        <w:t>WAC 357-01-277 Redeployment.</w:t>
      </w:r>
    </w:p>
    <w:p w14:paraId="06F87392" w14:textId="77777777" w:rsidR="008C2369" w:rsidRPr="00322949" w:rsidRDefault="008C2369" w:rsidP="008C2369">
      <w:pPr>
        <w:rPr>
          <w:rFonts w:ascii="Arial" w:eastAsia="Calibri" w:hAnsi="Arial" w:cs="Arial"/>
          <w:u w:val="single"/>
        </w:rPr>
      </w:pPr>
      <w:r w:rsidRPr="00322949">
        <w:rPr>
          <w:rFonts w:ascii="Arial" w:eastAsia="Calibri" w:hAnsi="Arial" w:cs="Arial"/>
          <w:u w:val="single"/>
        </w:rPr>
        <w:t>A general government employer-initiated movement of an employee within or between general government employers in the same or different job class with the same or different salary range maximum for a limited duration to support staffing shortages during an emergency or disaster in accordance with WAC 357-04-125.</w:t>
      </w:r>
    </w:p>
    <w:p w14:paraId="0476590C" w14:textId="77777777" w:rsidR="008C2369" w:rsidRPr="00322949" w:rsidRDefault="008C2369" w:rsidP="008C2369">
      <w:pPr>
        <w:pStyle w:val="Heading3"/>
        <w:rPr>
          <w:rFonts w:eastAsia="Calibri" w:cs="Arial"/>
          <w:szCs w:val="22"/>
        </w:rPr>
      </w:pPr>
      <w:r w:rsidRPr="00322949">
        <w:rPr>
          <w:rFonts w:eastAsia="Calibri" w:cs="Arial"/>
          <w:szCs w:val="22"/>
        </w:rPr>
        <w:t>WAC 357-04, General Provisions:</w:t>
      </w:r>
    </w:p>
    <w:p w14:paraId="4B42CCE4" w14:textId="121819C1" w:rsidR="008C2369" w:rsidRPr="00322949" w:rsidRDefault="008C2369" w:rsidP="008C2369">
      <w:pPr>
        <w:rPr>
          <w:rFonts w:ascii="Arial" w:eastAsia="Calibri" w:hAnsi="Arial" w:cs="Arial"/>
          <w:b/>
          <w:bCs/>
          <w:u w:val="single"/>
        </w:rPr>
      </w:pPr>
      <w:r w:rsidRPr="00322949">
        <w:rPr>
          <w:rFonts w:ascii="Arial" w:eastAsia="Calibri" w:hAnsi="Arial" w:cs="Arial"/>
          <w:b/>
          <w:bCs/>
          <w:u w:val="single"/>
        </w:rPr>
        <w:t>NEW SECTION</w:t>
      </w:r>
    </w:p>
    <w:p w14:paraId="5CBB351F" w14:textId="77777777" w:rsidR="008C2369" w:rsidRPr="00322949" w:rsidRDefault="008C2369" w:rsidP="008C2369">
      <w:pPr>
        <w:pStyle w:val="Heading3"/>
        <w:rPr>
          <w:rFonts w:eastAsia="Calibri" w:cs="Arial"/>
          <w:szCs w:val="22"/>
          <w:u w:val="single"/>
        </w:rPr>
      </w:pPr>
      <w:r w:rsidRPr="00322949">
        <w:rPr>
          <w:rFonts w:eastAsia="Calibri" w:cs="Arial"/>
          <w:szCs w:val="22"/>
          <w:u w:val="single"/>
        </w:rPr>
        <w:t xml:space="preserve">WAC </w:t>
      </w:r>
      <w:bookmarkStart w:id="7" w:name="_Hlk142400220"/>
      <w:r w:rsidRPr="00322949">
        <w:rPr>
          <w:rFonts w:eastAsia="Calibri" w:cs="Arial"/>
          <w:szCs w:val="22"/>
          <w:u w:val="single"/>
        </w:rPr>
        <w:t xml:space="preserve">357-04-125  </w:t>
      </w:r>
      <w:bookmarkEnd w:id="7"/>
      <w:r w:rsidRPr="00322949">
        <w:rPr>
          <w:rFonts w:eastAsia="Calibri" w:cs="Arial"/>
          <w:szCs w:val="22"/>
          <w:u w:val="single"/>
        </w:rPr>
        <w:t>When may a general government employer request director approval to redeploy an employee during an emergency or disaster?</w:t>
      </w:r>
    </w:p>
    <w:p w14:paraId="14F1CE7D" w14:textId="77777777" w:rsidR="008C2369" w:rsidRPr="00322949" w:rsidRDefault="008C2369" w:rsidP="008C2369">
      <w:pPr>
        <w:rPr>
          <w:rFonts w:ascii="Arial" w:eastAsia="Calibri" w:hAnsi="Arial" w:cs="Arial"/>
          <w:u w:val="single"/>
        </w:rPr>
      </w:pPr>
      <w:r w:rsidRPr="00322949">
        <w:rPr>
          <w:rFonts w:ascii="Arial" w:eastAsia="Calibri" w:hAnsi="Arial" w:cs="Arial"/>
          <w:u w:val="single"/>
        </w:rPr>
        <w:lastRenderedPageBreak/>
        <w:t xml:space="preserve">During an emergency or a </w:t>
      </w:r>
      <w:proofErr w:type="gramStart"/>
      <w:r w:rsidRPr="00322949">
        <w:rPr>
          <w:rFonts w:ascii="Arial" w:eastAsia="Calibri" w:hAnsi="Arial" w:cs="Arial"/>
          <w:u w:val="single"/>
        </w:rPr>
        <w:t>disaster</w:t>
      </w:r>
      <w:proofErr w:type="gramEnd"/>
      <w:r w:rsidRPr="00322949">
        <w:rPr>
          <w:rFonts w:ascii="Arial" w:eastAsia="Calibri" w:hAnsi="Arial" w:cs="Arial"/>
          <w:u w:val="single"/>
        </w:rPr>
        <w:t xml:space="preserve"> a general government employer may request director approval to redeploy an employee within or between general government employers for the preservation of public health, safety or general welfare. The employee must have the necessary skills, abilities, and/or licensure in order to be redeployed. </w:t>
      </w:r>
    </w:p>
    <w:p w14:paraId="1B8B5E4A" w14:textId="77777777" w:rsidR="008C2369" w:rsidRPr="00322949" w:rsidRDefault="008C2369" w:rsidP="008C2369">
      <w:pPr>
        <w:rPr>
          <w:rFonts w:ascii="Arial" w:hAnsi="Arial" w:cs="Arial"/>
          <w:u w:val="single"/>
        </w:rPr>
      </w:pPr>
      <w:r w:rsidRPr="00322949">
        <w:rPr>
          <w:rFonts w:ascii="Arial" w:hAnsi="Arial" w:cs="Arial"/>
          <w:u w:val="single"/>
        </w:rPr>
        <w:t xml:space="preserve">For purposes of this section, emergency or disaster has the same meaning in RCW 38.52.010. </w:t>
      </w:r>
    </w:p>
    <w:bookmarkEnd w:id="6"/>
    <w:p w14:paraId="4CACFE4B" w14:textId="77777777" w:rsidR="008C2369" w:rsidRPr="00322949" w:rsidRDefault="008C2369" w:rsidP="008C2369">
      <w:pPr>
        <w:pStyle w:val="Heading3"/>
        <w:rPr>
          <w:rFonts w:cs="Arial"/>
          <w:szCs w:val="22"/>
        </w:rPr>
      </w:pPr>
      <w:r w:rsidRPr="00322949">
        <w:rPr>
          <w:rFonts w:cs="Arial"/>
          <w:szCs w:val="22"/>
        </w:rPr>
        <w:t>WAC 357-19, Appointment and Reemployment:</w:t>
      </w:r>
    </w:p>
    <w:p w14:paraId="23A4730B" w14:textId="77777777" w:rsidR="008C2369" w:rsidRPr="00322949" w:rsidRDefault="008C2369" w:rsidP="008C2369">
      <w:pPr>
        <w:rPr>
          <w:rFonts w:ascii="Arial" w:hAnsi="Arial" w:cs="Arial"/>
          <w:b/>
          <w:bCs/>
          <w:u w:val="single"/>
        </w:rPr>
      </w:pPr>
      <w:bookmarkStart w:id="8" w:name="_Hlk111621888"/>
      <w:r w:rsidRPr="00322949">
        <w:rPr>
          <w:rFonts w:ascii="Arial" w:hAnsi="Arial" w:cs="Arial"/>
          <w:b/>
          <w:bCs/>
          <w:u w:val="single"/>
        </w:rPr>
        <w:t>AMENDATORY SECTION</w:t>
      </w:r>
    </w:p>
    <w:p w14:paraId="76DE20C5" w14:textId="77777777" w:rsidR="008C2369" w:rsidRPr="00322949" w:rsidRDefault="008C2369" w:rsidP="008C2369">
      <w:pPr>
        <w:pStyle w:val="Heading3"/>
        <w:rPr>
          <w:rFonts w:eastAsia="Calibri" w:cs="Arial"/>
          <w:szCs w:val="22"/>
        </w:rPr>
      </w:pPr>
      <w:r w:rsidRPr="00322949">
        <w:rPr>
          <w:rFonts w:eastAsia="Calibri" w:cs="Arial"/>
          <w:szCs w:val="22"/>
        </w:rPr>
        <w:t xml:space="preserve">WAC 357-19-073 </w:t>
      </w:r>
      <w:bookmarkEnd w:id="8"/>
      <w:r w:rsidRPr="00322949">
        <w:rPr>
          <w:rFonts w:eastAsia="Calibri" w:cs="Arial"/>
          <w:szCs w:val="22"/>
        </w:rPr>
        <w:t>What happens if an employee who is serving a probationary period accepts a nonpermanent appointment?</w:t>
      </w:r>
    </w:p>
    <w:p w14:paraId="429C131D" w14:textId="77777777" w:rsidR="008C2369" w:rsidRPr="00322949" w:rsidRDefault="008C2369" w:rsidP="008C2369">
      <w:pPr>
        <w:numPr>
          <w:ilvl w:val="0"/>
          <w:numId w:val="9"/>
        </w:numPr>
        <w:spacing w:after="0" w:line="240" w:lineRule="auto"/>
        <w:contextualSpacing/>
        <w:rPr>
          <w:rFonts w:ascii="Arial" w:eastAsia="Calibri" w:hAnsi="Arial" w:cs="Arial"/>
        </w:rPr>
      </w:pPr>
      <w:r w:rsidRPr="00322949">
        <w:rPr>
          <w:rFonts w:ascii="Arial" w:eastAsia="Calibri" w:hAnsi="Arial" w:cs="Arial"/>
        </w:rPr>
        <w:t xml:space="preserve">If an employee who is serving a probationary period accepts a nonpermanent appointment </w:t>
      </w:r>
      <w:bookmarkStart w:id="9" w:name="_Hlk111623559"/>
      <w:r w:rsidRPr="00322949">
        <w:rPr>
          <w:rFonts w:ascii="Arial" w:eastAsia="Calibri" w:hAnsi="Arial" w:cs="Arial"/>
          <w:u w:val="single"/>
        </w:rPr>
        <w:t>for reasons specified in</w:t>
      </w:r>
      <w:r w:rsidRPr="00322949">
        <w:rPr>
          <w:rFonts w:ascii="Arial" w:eastAsia="Calibri" w:hAnsi="Arial" w:cs="Arial"/>
        </w:rPr>
        <w:t xml:space="preserve"> </w:t>
      </w:r>
      <w:bookmarkStart w:id="10" w:name="_Hlk116565923"/>
      <w:r w:rsidRPr="00322949">
        <w:rPr>
          <w:rFonts w:ascii="Arial" w:eastAsia="Calibri" w:hAnsi="Arial" w:cs="Arial"/>
          <w:u w:val="single"/>
        </w:rPr>
        <w:t>WAC </w:t>
      </w:r>
      <w:hyperlink r:id="rId25" w:history="1">
        <w:r w:rsidRPr="00322949">
          <w:rPr>
            <w:rFonts w:ascii="Arial" w:eastAsia="Calibri" w:hAnsi="Arial" w:cs="Arial"/>
            <w:color w:val="0000FF"/>
            <w:u w:val="single"/>
          </w:rPr>
          <w:t>357-19-360</w:t>
        </w:r>
      </w:hyperlink>
      <w:r w:rsidRPr="00322949">
        <w:rPr>
          <w:rFonts w:ascii="Arial" w:eastAsia="Calibri" w:hAnsi="Arial" w:cs="Arial"/>
          <w:u w:val="single"/>
        </w:rPr>
        <w:t> (1)</w:t>
      </w:r>
      <w:bookmarkEnd w:id="9"/>
      <w:bookmarkEnd w:id="10"/>
      <w:r w:rsidRPr="00322949">
        <w:rPr>
          <w:rFonts w:ascii="Arial" w:eastAsia="Calibri" w:hAnsi="Arial" w:cs="Arial"/>
          <w:u w:val="single"/>
        </w:rPr>
        <w:t xml:space="preserve"> </w:t>
      </w:r>
      <w:r w:rsidRPr="00322949">
        <w:rPr>
          <w:rFonts w:ascii="Arial" w:eastAsia="Calibri" w:hAnsi="Arial" w:cs="Arial"/>
        </w:rPr>
        <w:t xml:space="preserve">the probationary period will end and the employee will not be granted permanent status unless the employer agrees to return the employee to a position at the conclusion of the nonpermanent appointment. Any return rights granted by the employer must be to a vacant position in the class in which the employee was serving a probationary period. If the employer chooses to grant the employee a return right the employer must notify the employee in writing. </w:t>
      </w:r>
      <w:bookmarkStart w:id="11" w:name="_Hlk118814368"/>
    </w:p>
    <w:p w14:paraId="78960896" w14:textId="77777777" w:rsidR="008C2369" w:rsidRPr="00322949" w:rsidRDefault="008C2369" w:rsidP="008C2369">
      <w:pPr>
        <w:spacing w:after="0" w:line="240" w:lineRule="auto"/>
        <w:ind w:left="720"/>
        <w:contextualSpacing/>
        <w:rPr>
          <w:rFonts w:ascii="Arial" w:eastAsia="Calibri" w:hAnsi="Arial" w:cs="Arial"/>
        </w:rPr>
      </w:pPr>
    </w:p>
    <w:p w14:paraId="2ED46684" w14:textId="77777777" w:rsidR="008C2369" w:rsidRPr="00322949" w:rsidRDefault="008C2369" w:rsidP="008C2369">
      <w:pPr>
        <w:numPr>
          <w:ilvl w:val="0"/>
          <w:numId w:val="9"/>
        </w:numPr>
        <w:spacing w:after="0" w:line="240" w:lineRule="auto"/>
        <w:contextualSpacing/>
        <w:rPr>
          <w:rFonts w:ascii="Arial" w:eastAsia="Calibri" w:hAnsi="Arial" w:cs="Arial"/>
          <w:b/>
          <w:bCs/>
          <w:u w:val="single"/>
        </w:rPr>
      </w:pPr>
      <w:r w:rsidRPr="00322949">
        <w:rPr>
          <w:rFonts w:ascii="Arial" w:eastAsia="Calibri" w:hAnsi="Arial" w:cs="Arial"/>
          <w:u w:val="single"/>
        </w:rPr>
        <w:t xml:space="preserve">If a general government employee who is serving a probationary period is redeployed into a nonpermanent appointment for reasons specified in WAC 357-19-360(2) the </w:t>
      </w:r>
      <w:bookmarkStart w:id="12" w:name="_Hlk113975516"/>
      <w:r w:rsidRPr="00322949">
        <w:rPr>
          <w:rFonts w:ascii="Arial" w:eastAsia="Calibri" w:hAnsi="Arial" w:cs="Arial"/>
          <w:u w:val="single"/>
        </w:rPr>
        <w:t>employer must return the employee to the same position held prior to the redeployment at the conclusion of the redeployment.</w:t>
      </w:r>
      <w:bookmarkEnd w:id="12"/>
      <w:r w:rsidRPr="00322949">
        <w:rPr>
          <w:rFonts w:ascii="Arial" w:eastAsia="Calibri" w:hAnsi="Arial" w:cs="Arial"/>
          <w:u w:val="single"/>
        </w:rPr>
        <w:t xml:space="preserve"> Upon return to their previous position, the employee's base salary must be set at the step the employee would be at if they had not left the position.</w:t>
      </w:r>
    </w:p>
    <w:p w14:paraId="256DB1E4" w14:textId="77777777" w:rsidR="008C2369" w:rsidRPr="00322949" w:rsidRDefault="008C2369" w:rsidP="008C2369">
      <w:pPr>
        <w:spacing w:after="0" w:line="240" w:lineRule="auto"/>
        <w:ind w:left="360"/>
        <w:contextualSpacing/>
        <w:rPr>
          <w:rFonts w:ascii="Arial" w:eastAsia="Calibri" w:hAnsi="Arial" w:cs="Arial"/>
        </w:rPr>
      </w:pPr>
    </w:p>
    <w:p w14:paraId="7C4E4CCB" w14:textId="77777777" w:rsidR="008C2369" w:rsidRPr="00322949" w:rsidRDefault="008C2369" w:rsidP="008C2369">
      <w:pPr>
        <w:pStyle w:val="ListParagraph"/>
        <w:numPr>
          <w:ilvl w:val="0"/>
          <w:numId w:val="9"/>
        </w:numPr>
        <w:spacing w:after="0" w:line="240" w:lineRule="auto"/>
        <w:rPr>
          <w:rFonts w:ascii="Arial" w:eastAsia="Calibri" w:hAnsi="Arial" w:cs="Arial"/>
        </w:rPr>
      </w:pPr>
      <w:r w:rsidRPr="00322949">
        <w:rPr>
          <w:rFonts w:ascii="Arial" w:eastAsia="Calibri" w:hAnsi="Arial" w:cs="Arial"/>
        </w:rPr>
        <w:t>Upon return from a nonpermanent appointment the employee will resume their probationary period. If the employer determines the position the employee was serving a probationary period in and the position the employee was appointed to on a nonpermanent basis are allocated to classes which are closely related, the employer may count the time worked in the nonpermanent appointment towards the probationary period.</w:t>
      </w:r>
      <w:bookmarkEnd w:id="11"/>
    </w:p>
    <w:p w14:paraId="62E50733" w14:textId="77777777" w:rsidR="008C2369" w:rsidRDefault="008C2369" w:rsidP="008C2369">
      <w:pPr>
        <w:spacing w:after="0"/>
        <w:rPr>
          <w:rFonts w:ascii="Arial" w:hAnsi="Arial" w:cs="Arial"/>
          <w:b/>
          <w:bCs/>
          <w:u w:val="single"/>
        </w:rPr>
      </w:pPr>
    </w:p>
    <w:p w14:paraId="07520852" w14:textId="77777777" w:rsidR="008C2369" w:rsidRPr="00D254A5" w:rsidRDefault="008C2369" w:rsidP="008C2369">
      <w:pPr>
        <w:rPr>
          <w:rFonts w:ascii="Arial" w:hAnsi="Arial" w:cs="Arial"/>
          <w:b/>
          <w:bCs/>
          <w:highlight w:val="yellow"/>
          <w:u w:val="single"/>
        </w:rPr>
      </w:pPr>
      <w:bookmarkStart w:id="13" w:name="_Hlk111621925"/>
      <w:r w:rsidRPr="00D254A5">
        <w:rPr>
          <w:rFonts w:ascii="Arial" w:hAnsi="Arial" w:cs="Arial"/>
          <w:b/>
          <w:bCs/>
          <w:highlight w:val="yellow"/>
          <w:u w:val="single"/>
        </w:rPr>
        <w:t>AMENDATORY SECTION</w:t>
      </w:r>
    </w:p>
    <w:p w14:paraId="7115EEA1" w14:textId="77777777" w:rsidR="008C2369" w:rsidRPr="00D254A5" w:rsidRDefault="008C2369" w:rsidP="008C2369">
      <w:pPr>
        <w:pStyle w:val="Heading3"/>
        <w:rPr>
          <w:rFonts w:eastAsia="Calibri"/>
          <w:highlight w:val="yellow"/>
        </w:rPr>
      </w:pPr>
      <w:r w:rsidRPr="00D254A5">
        <w:rPr>
          <w:rFonts w:eastAsia="Calibri"/>
          <w:highlight w:val="yellow"/>
        </w:rPr>
        <w:t xml:space="preserve">WAC 357-19-080 </w:t>
      </w:r>
      <w:bookmarkEnd w:id="13"/>
      <w:r w:rsidRPr="00D254A5">
        <w:rPr>
          <w:rFonts w:eastAsia="Calibri"/>
          <w:highlight w:val="yellow"/>
        </w:rPr>
        <w:t>What happens if a permanent employee accepts a nonpermanent appointment during a trial service period?</w:t>
      </w:r>
    </w:p>
    <w:p w14:paraId="71708335" w14:textId="77777777" w:rsidR="008C2369" w:rsidRPr="00D254A5" w:rsidRDefault="008C2369" w:rsidP="008C2369">
      <w:pPr>
        <w:rPr>
          <w:rFonts w:ascii="Arial" w:eastAsia="Calibri" w:hAnsi="Arial" w:cs="Arial"/>
          <w:highlight w:val="yellow"/>
        </w:rPr>
      </w:pPr>
      <w:r w:rsidRPr="00D254A5">
        <w:rPr>
          <w:rFonts w:ascii="Arial" w:eastAsia="Calibri" w:hAnsi="Arial" w:cs="Arial"/>
          <w:highlight w:val="yellow"/>
          <w:u w:val="single"/>
        </w:rPr>
        <w:t xml:space="preserve">(1) </w:t>
      </w:r>
      <w:r w:rsidRPr="00D254A5">
        <w:rPr>
          <w:rFonts w:ascii="Arial" w:eastAsia="Calibri" w:hAnsi="Arial" w:cs="Arial"/>
          <w:highlight w:val="yellow"/>
        </w:rPr>
        <w:t xml:space="preserve">If a permanent employee accepts a nonpermanent appointment </w:t>
      </w:r>
      <w:r w:rsidRPr="00D254A5">
        <w:rPr>
          <w:rFonts w:ascii="Arial" w:eastAsia="Calibri" w:hAnsi="Arial" w:cs="Arial"/>
          <w:highlight w:val="yellow"/>
          <w:u w:val="single"/>
        </w:rPr>
        <w:t>for reasons specified in</w:t>
      </w:r>
      <w:r w:rsidRPr="00D254A5">
        <w:rPr>
          <w:rFonts w:ascii="Arial" w:eastAsia="Calibri" w:hAnsi="Arial" w:cs="Arial"/>
          <w:highlight w:val="yellow"/>
        </w:rPr>
        <w:t xml:space="preserve"> </w:t>
      </w:r>
      <w:r w:rsidRPr="00D254A5">
        <w:rPr>
          <w:rFonts w:ascii="Arial" w:eastAsia="Calibri" w:hAnsi="Arial" w:cs="Arial"/>
          <w:highlight w:val="yellow"/>
          <w:u w:val="single"/>
        </w:rPr>
        <w:t>WAC </w:t>
      </w:r>
      <w:hyperlink r:id="rId26" w:history="1">
        <w:r w:rsidRPr="00D254A5">
          <w:rPr>
            <w:rFonts w:ascii="Arial" w:eastAsia="Calibri" w:hAnsi="Arial" w:cs="Arial"/>
            <w:color w:val="0000FF"/>
            <w:highlight w:val="yellow"/>
            <w:u w:val="single"/>
          </w:rPr>
          <w:t>357-19-360</w:t>
        </w:r>
      </w:hyperlink>
      <w:r w:rsidRPr="00D254A5">
        <w:rPr>
          <w:rFonts w:ascii="Arial" w:eastAsia="Calibri" w:hAnsi="Arial" w:cs="Arial"/>
          <w:highlight w:val="yellow"/>
          <w:u w:val="single"/>
        </w:rPr>
        <w:t>(1)</w:t>
      </w:r>
      <w:r w:rsidRPr="00D254A5">
        <w:rPr>
          <w:rFonts w:ascii="Arial" w:eastAsia="Calibri" w:hAnsi="Arial" w:cs="Arial"/>
          <w:highlight w:val="yellow"/>
        </w:rPr>
        <w:t xml:space="preserve"> during a trial service period and the employer has agreed to return the employee to a position at the conclusion of the nonpermanent appointment, the employer may:</w:t>
      </w:r>
    </w:p>
    <w:p w14:paraId="046677AD" w14:textId="77777777" w:rsidR="008C2369" w:rsidRPr="00D254A5" w:rsidRDefault="008C2369" w:rsidP="008C2369">
      <w:pPr>
        <w:rPr>
          <w:rFonts w:ascii="Arial" w:eastAsia="Calibri" w:hAnsi="Arial" w:cs="Arial"/>
          <w:highlight w:val="yellow"/>
        </w:rPr>
      </w:pPr>
      <w:r w:rsidRPr="00D254A5">
        <w:rPr>
          <w:rFonts w:ascii="Arial" w:eastAsia="Calibri" w:hAnsi="Arial" w:cs="Arial"/>
          <w:highlight w:val="yellow"/>
          <w:u w:val="single"/>
        </w:rPr>
        <w:t>(a)(</w:t>
      </w:r>
      <w:r w:rsidRPr="00D254A5">
        <w:rPr>
          <w:rFonts w:ascii="Arial" w:eastAsia="Calibri" w:hAnsi="Arial" w:cs="Arial"/>
          <w:strike/>
          <w:highlight w:val="yellow"/>
        </w:rPr>
        <w:t>1)</w:t>
      </w:r>
      <w:r w:rsidRPr="00D254A5">
        <w:rPr>
          <w:rFonts w:ascii="Arial" w:eastAsia="Calibri" w:hAnsi="Arial" w:cs="Arial"/>
          <w:highlight w:val="yellow"/>
        </w:rPr>
        <w:t xml:space="preserve"> Suspend the trial service period and allow the employee to resume the trial service period when the employee returns from the nonpermanent appointment;</w:t>
      </w:r>
    </w:p>
    <w:p w14:paraId="6A09DF38" w14:textId="77777777" w:rsidR="008C2369" w:rsidRPr="00D254A5" w:rsidRDefault="008C2369" w:rsidP="008C2369">
      <w:pPr>
        <w:rPr>
          <w:rFonts w:ascii="Arial" w:eastAsia="Calibri" w:hAnsi="Arial" w:cs="Arial"/>
          <w:strike/>
          <w:highlight w:val="yellow"/>
        </w:rPr>
      </w:pPr>
      <w:r w:rsidRPr="00D254A5">
        <w:rPr>
          <w:rFonts w:ascii="Arial" w:eastAsia="Calibri" w:hAnsi="Arial" w:cs="Arial"/>
          <w:highlight w:val="yellow"/>
          <w:u w:val="single"/>
        </w:rPr>
        <w:t>(b)(</w:t>
      </w:r>
      <w:r w:rsidRPr="00D254A5">
        <w:rPr>
          <w:rFonts w:ascii="Arial" w:eastAsia="Calibri" w:hAnsi="Arial" w:cs="Arial"/>
          <w:strike/>
          <w:highlight w:val="yellow"/>
        </w:rPr>
        <w:t>2)</w:t>
      </w:r>
      <w:r w:rsidRPr="00D254A5">
        <w:rPr>
          <w:rFonts w:ascii="Arial" w:eastAsia="Calibri" w:hAnsi="Arial" w:cs="Arial"/>
          <w:highlight w:val="yellow"/>
        </w:rPr>
        <w:t xml:space="preserve"> Require the trial service period to start over when the employee returns from the nonpermanent appointment; or</w:t>
      </w:r>
    </w:p>
    <w:p w14:paraId="17C54A1A" w14:textId="77777777" w:rsidR="008C2369" w:rsidRPr="00D254A5" w:rsidRDefault="008C2369" w:rsidP="008C2369">
      <w:pPr>
        <w:rPr>
          <w:rFonts w:ascii="Arial" w:eastAsia="Calibri" w:hAnsi="Arial" w:cs="Arial"/>
          <w:highlight w:val="yellow"/>
        </w:rPr>
      </w:pPr>
      <w:r w:rsidRPr="00D254A5">
        <w:rPr>
          <w:rFonts w:ascii="Arial" w:eastAsia="Calibri" w:hAnsi="Arial" w:cs="Arial"/>
          <w:highlight w:val="yellow"/>
          <w:u w:val="single"/>
        </w:rPr>
        <w:lastRenderedPageBreak/>
        <w:t>(c)</w:t>
      </w:r>
      <w:r w:rsidRPr="00D254A5">
        <w:rPr>
          <w:rFonts w:ascii="Arial" w:eastAsia="Calibri" w:hAnsi="Arial" w:cs="Arial"/>
          <w:strike/>
          <w:highlight w:val="yellow"/>
        </w:rPr>
        <w:t xml:space="preserve"> (3)</w:t>
      </w:r>
      <w:r w:rsidRPr="00D254A5">
        <w:rPr>
          <w:rFonts w:ascii="Arial" w:eastAsia="Calibri" w:hAnsi="Arial" w:cs="Arial"/>
          <w:highlight w:val="yellow"/>
        </w:rPr>
        <w:t xml:space="preserve"> Count the time worked in the nonpermanent appointment towards the trial service period.</w:t>
      </w:r>
    </w:p>
    <w:p w14:paraId="06B88A5C" w14:textId="0287BD28" w:rsidR="008C2369" w:rsidRPr="00D254A5" w:rsidRDefault="008C2369" w:rsidP="008C2369">
      <w:pPr>
        <w:rPr>
          <w:rFonts w:ascii="Arial" w:eastAsia="Calibri" w:hAnsi="Arial" w:cs="Arial"/>
          <w:highlight w:val="yellow"/>
        </w:rPr>
      </w:pPr>
      <w:r w:rsidRPr="00D254A5">
        <w:rPr>
          <w:rFonts w:ascii="Arial" w:eastAsia="Calibri" w:hAnsi="Arial" w:cs="Arial"/>
          <w:highlight w:val="yellow"/>
          <w:u w:val="single"/>
        </w:rPr>
        <w:t xml:space="preserve">(2) If a </w:t>
      </w:r>
      <w:r w:rsidR="009F7860">
        <w:rPr>
          <w:rFonts w:ascii="Arial" w:eastAsia="Calibri" w:hAnsi="Arial" w:cs="Arial"/>
          <w:highlight w:val="yellow"/>
          <w:u w:val="single"/>
        </w:rPr>
        <w:t xml:space="preserve">permanent </w:t>
      </w:r>
      <w:r w:rsidRPr="00D254A5">
        <w:rPr>
          <w:rFonts w:ascii="Arial" w:eastAsia="Calibri" w:hAnsi="Arial" w:cs="Arial"/>
          <w:highlight w:val="yellow"/>
          <w:u w:val="single"/>
        </w:rPr>
        <w:t xml:space="preserve">general government employee is </w:t>
      </w:r>
      <w:r w:rsidR="009F7860">
        <w:rPr>
          <w:rFonts w:ascii="Arial" w:eastAsia="Calibri" w:hAnsi="Arial" w:cs="Arial"/>
          <w:highlight w:val="yellow"/>
          <w:u w:val="single"/>
        </w:rPr>
        <w:t>redeployed into a nonpermanent appointment for reasons specified in WAC 357-19-360(2) during a</w:t>
      </w:r>
      <w:r w:rsidRPr="00D254A5">
        <w:rPr>
          <w:rFonts w:ascii="Arial" w:eastAsia="Calibri" w:hAnsi="Arial" w:cs="Arial"/>
          <w:highlight w:val="yellow"/>
          <w:u w:val="single"/>
        </w:rPr>
        <w:t xml:space="preserve"> trial service period the employer must return the employee to the same position held prior to the redeployment </w:t>
      </w:r>
      <w:r>
        <w:rPr>
          <w:rFonts w:ascii="Arial" w:eastAsia="Calibri" w:hAnsi="Arial" w:cs="Arial"/>
          <w:highlight w:val="yellow"/>
          <w:u w:val="single"/>
        </w:rPr>
        <w:t xml:space="preserve">at the conclusion of the redeployment </w:t>
      </w:r>
      <w:r w:rsidRPr="00D254A5">
        <w:rPr>
          <w:rFonts w:ascii="Arial" w:eastAsia="Calibri" w:hAnsi="Arial" w:cs="Arial"/>
          <w:highlight w:val="yellow"/>
          <w:u w:val="single"/>
        </w:rPr>
        <w:t xml:space="preserve">and the employer must count time worked in the nonpermanent appointment towards the trial service period for the permanent position. Upon return to their previous position, the employee’s base salary must be set at the step the employee would be at if they had not left the position.  </w:t>
      </w:r>
    </w:p>
    <w:p w14:paraId="70A0A6C3" w14:textId="77777777" w:rsidR="008C2369" w:rsidRPr="00D254A5" w:rsidRDefault="008C2369" w:rsidP="008C2369">
      <w:pPr>
        <w:rPr>
          <w:rFonts w:ascii="Arial" w:hAnsi="Arial" w:cs="Arial"/>
          <w:b/>
          <w:bCs/>
          <w:highlight w:val="yellow"/>
          <w:u w:val="single"/>
        </w:rPr>
      </w:pPr>
      <w:bookmarkStart w:id="14" w:name="_Hlk119906883"/>
      <w:r w:rsidRPr="00D254A5">
        <w:rPr>
          <w:rFonts w:ascii="Arial" w:hAnsi="Arial" w:cs="Arial"/>
          <w:b/>
          <w:bCs/>
          <w:highlight w:val="yellow"/>
          <w:u w:val="single"/>
        </w:rPr>
        <w:t>AMENDATORY SECTION</w:t>
      </w:r>
    </w:p>
    <w:p w14:paraId="5E2A81A5" w14:textId="77777777" w:rsidR="008C2369" w:rsidRPr="00D254A5" w:rsidRDefault="008C2369" w:rsidP="008C2369">
      <w:pPr>
        <w:pStyle w:val="Heading3"/>
        <w:rPr>
          <w:rFonts w:eastAsia="Calibri"/>
          <w:highlight w:val="yellow"/>
        </w:rPr>
      </w:pPr>
      <w:r w:rsidRPr="00D254A5">
        <w:rPr>
          <w:rFonts w:eastAsia="Calibri"/>
          <w:highlight w:val="yellow"/>
        </w:rPr>
        <w:t>WAC 357-19-085 Does time worked in a nonpermanent appointment count towards the probationary or trial service period for a permanent position?</w:t>
      </w:r>
    </w:p>
    <w:p w14:paraId="1FBC8C0E" w14:textId="77777777" w:rsidR="008C2369" w:rsidRPr="00D254A5" w:rsidRDefault="008C2369" w:rsidP="008C2369">
      <w:pPr>
        <w:rPr>
          <w:rFonts w:ascii="Arial" w:eastAsia="Calibri" w:hAnsi="Arial" w:cs="Arial"/>
          <w:highlight w:val="yellow"/>
          <w:u w:val="single"/>
        </w:rPr>
      </w:pPr>
      <w:r w:rsidRPr="00D254A5">
        <w:rPr>
          <w:rFonts w:ascii="Arial" w:eastAsia="Calibri" w:hAnsi="Arial" w:cs="Arial"/>
          <w:highlight w:val="yellow"/>
          <w:u w:val="single"/>
        </w:rPr>
        <w:t>(1)</w:t>
      </w:r>
      <w:r w:rsidRPr="00D254A5">
        <w:rPr>
          <w:rFonts w:ascii="Arial" w:eastAsia="Calibri" w:hAnsi="Arial" w:cs="Arial"/>
          <w:highlight w:val="yellow"/>
        </w:rPr>
        <w:t xml:space="preserve"> If an employee in a nonpermanent appointment </w:t>
      </w:r>
      <w:bookmarkStart w:id="15" w:name="_Hlk111642829"/>
      <w:r w:rsidRPr="00D254A5">
        <w:rPr>
          <w:rFonts w:ascii="Arial" w:eastAsia="Calibri" w:hAnsi="Arial" w:cs="Arial"/>
          <w:highlight w:val="yellow"/>
          <w:u w:val="single"/>
        </w:rPr>
        <w:t>for reasons specified in</w:t>
      </w:r>
      <w:r w:rsidRPr="00D254A5">
        <w:rPr>
          <w:rFonts w:ascii="Arial" w:eastAsia="Calibri" w:hAnsi="Arial" w:cs="Arial"/>
          <w:highlight w:val="yellow"/>
        </w:rPr>
        <w:t xml:space="preserve"> </w:t>
      </w:r>
      <w:bookmarkEnd w:id="15"/>
      <w:r w:rsidRPr="00D254A5">
        <w:rPr>
          <w:rFonts w:ascii="Arial" w:eastAsia="Calibri" w:hAnsi="Arial" w:cs="Arial"/>
          <w:highlight w:val="yellow"/>
          <w:u w:val="single"/>
        </w:rPr>
        <w:t>WAC </w:t>
      </w:r>
      <w:hyperlink r:id="rId27" w:history="1">
        <w:r w:rsidRPr="00D254A5">
          <w:rPr>
            <w:rFonts w:ascii="Arial" w:eastAsia="Calibri" w:hAnsi="Arial" w:cs="Arial"/>
            <w:color w:val="0000FF"/>
            <w:highlight w:val="yellow"/>
            <w:u w:val="single"/>
          </w:rPr>
          <w:t>357-19-360</w:t>
        </w:r>
      </w:hyperlink>
      <w:r w:rsidRPr="00D254A5">
        <w:rPr>
          <w:rFonts w:ascii="Arial" w:eastAsia="Calibri" w:hAnsi="Arial" w:cs="Arial"/>
          <w:highlight w:val="yellow"/>
          <w:u w:val="single"/>
        </w:rPr>
        <w:t xml:space="preserve">(1) is </w:t>
      </w:r>
      <w:r w:rsidRPr="00D254A5">
        <w:rPr>
          <w:rFonts w:ascii="Arial" w:eastAsia="Calibri" w:hAnsi="Arial" w:cs="Arial"/>
          <w:highlight w:val="yellow"/>
        </w:rPr>
        <w:t xml:space="preserve">subsequently appointed permanently to the same or a similar position, the employer may count time worked in the nonpermanent appointment towards the probationary or trial service period for the permanent position. </w:t>
      </w:r>
    </w:p>
    <w:p w14:paraId="3963521B" w14:textId="69F312C1" w:rsidR="008C2369" w:rsidRDefault="008C2369" w:rsidP="00FE6771">
      <w:pPr>
        <w:spacing w:after="0" w:line="240" w:lineRule="auto"/>
        <w:rPr>
          <w:rFonts w:ascii="Arial" w:eastAsia="Calibri" w:hAnsi="Arial" w:cs="Arial"/>
          <w:u w:val="single"/>
        </w:rPr>
      </w:pPr>
      <w:r w:rsidRPr="00D254A5">
        <w:rPr>
          <w:rFonts w:ascii="Arial" w:eastAsia="Calibri" w:hAnsi="Arial" w:cs="Arial"/>
          <w:highlight w:val="yellow"/>
          <w:u w:val="single"/>
        </w:rPr>
        <w:t>(2)</w:t>
      </w:r>
      <w:r w:rsidRPr="00D254A5">
        <w:rPr>
          <w:rFonts w:ascii="Arial" w:eastAsia="Times New Roman" w:hAnsi="Arial" w:cs="Arial"/>
          <w:highlight w:val="yellow"/>
          <w:u w:val="single"/>
        </w:rPr>
        <w:t xml:space="preserve"> </w:t>
      </w:r>
      <w:r w:rsidRPr="00D254A5">
        <w:rPr>
          <w:rFonts w:ascii="Arial" w:eastAsia="Calibri" w:hAnsi="Arial" w:cs="Arial"/>
          <w:highlight w:val="yellow"/>
          <w:u w:val="single"/>
        </w:rPr>
        <w:t>If a general government employee in a nonpermanent appointment for reasons specified in WAC 357-19-360(2) is subsequently appointed permanently to a same or similar position, the employer may count time worked in the nonpermanent appointment towards the probationary period and must count time worked in the nonpermanent appointment towards the trial service period for the permanent position.</w:t>
      </w:r>
      <w:r w:rsidRPr="001A288F">
        <w:rPr>
          <w:rFonts w:ascii="Arial" w:eastAsia="Calibri" w:hAnsi="Arial" w:cs="Arial"/>
          <w:u w:val="single"/>
        </w:rPr>
        <w:t> </w:t>
      </w:r>
      <w:bookmarkEnd w:id="14"/>
      <w:r w:rsidR="0014778F">
        <w:rPr>
          <w:rFonts w:ascii="Arial" w:eastAsia="Calibri" w:hAnsi="Arial" w:cs="Arial"/>
          <w:u w:val="single"/>
        </w:rPr>
        <w:t xml:space="preserve"> </w:t>
      </w:r>
    </w:p>
    <w:p w14:paraId="14A28CE3" w14:textId="77777777" w:rsidR="00FE6771" w:rsidRDefault="00FE6771" w:rsidP="00FE6771">
      <w:pPr>
        <w:spacing w:after="0" w:line="240" w:lineRule="auto"/>
        <w:rPr>
          <w:rFonts w:ascii="Arial" w:hAnsi="Arial" w:cs="Arial"/>
          <w:b/>
          <w:bCs/>
          <w:u w:val="single"/>
        </w:rPr>
      </w:pPr>
    </w:p>
    <w:p w14:paraId="043F144C" w14:textId="77777777" w:rsidR="008C2369" w:rsidRPr="00322949" w:rsidRDefault="008C2369" w:rsidP="008C2369">
      <w:pPr>
        <w:spacing w:after="0" w:line="240" w:lineRule="auto"/>
        <w:rPr>
          <w:rFonts w:ascii="Arial" w:eastAsia="Calibri" w:hAnsi="Arial" w:cs="Arial"/>
        </w:rPr>
      </w:pPr>
      <w:r w:rsidRPr="00322949">
        <w:rPr>
          <w:rFonts w:ascii="Arial" w:hAnsi="Arial" w:cs="Arial"/>
          <w:b/>
          <w:bCs/>
          <w:u w:val="single"/>
        </w:rPr>
        <w:t>AMENDATORY SECTION</w:t>
      </w:r>
    </w:p>
    <w:p w14:paraId="02FA601C" w14:textId="77777777" w:rsidR="008C2369" w:rsidRPr="00322949" w:rsidRDefault="008C2369" w:rsidP="008C2369">
      <w:pPr>
        <w:pStyle w:val="Heading3"/>
        <w:spacing w:afterAutospacing="0"/>
        <w:rPr>
          <w:rFonts w:eastAsia="Calibri" w:cs="Arial"/>
          <w:szCs w:val="22"/>
        </w:rPr>
      </w:pPr>
      <w:r w:rsidRPr="00322949">
        <w:rPr>
          <w:rFonts w:eastAsia="Calibri" w:cs="Arial"/>
          <w:szCs w:val="22"/>
        </w:rPr>
        <w:t xml:space="preserve">WAC 357-19-165 What is the difference between reassignment, transfer </w:t>
      </w:r>
      <w:r w:rsidRPr="00322949">
        <w:rPr>
          <w:rFonts w:eastAsia="Calibri" w:cs="Arial"/>
          <w:szCs w:val="22"/>
          <w:u w:val="single"/>
        </w:rPr>
        <w:t>and redeployment</w:t>
      </w:r>
      <w:r w:rsidRPr="00322949">
        <w:rPr>
          <w:rFonts w:eastAsia="Calibri" w:cs="Arial"/>
          <w:szCs w:val="22"/>
        </w:rPr>
        <w:t>?</w:t>
      </w:r>
    </w:p>
    <w:p w14:paraId="5A45C3FF" w14:textId="77777777" w:rsidR="008C2369" w:rsidRPr="00322949" w:rsidRDefault="008C2369" w:rsidP="008C2369">
      <w:pPr>
        <w:rPr>
          <w:rFonts w:ascii="Arial" w:eastAsia="Calibri" w:hAnsi="Arial" w:cs="Arial"/>
        </w:rPr>
      </w:pPr>
      <w:r w:rsidRPr="00322949">
        <w:rPr>
          <w:rFonts w:ascii="Arial" w:eastAsia="Calibri" w:hAnsi="Arial" w:cs="Arial"/>
        </w:rPr>
        <w:t xml:space="preserve">A reassignment is an employer-initiated move of an employee from one position to a comparable position in the same class. A transfer is an employee-initiated move from one position within or between employers in the same class or a different class with the same salary range maximum. </w:t>
      </w:r>
      <w:r w:rsidRPr="00322949">
        <w:rPr>
          <w:rFonts w:ascii="Arial" w:eastAsia="Calibri" w:hAnsi="Arial" w:cs="Arial"/>
          <w:u w:val="single"/>
        </w:rPr>
        <w:t>A redeployment is a general government employer-initiated movement of an employee within or between general government employers in the same or different class with the same or different salary range maximum for a limited duration to support staffing shortages during an emergency or disaster in accordance with WAC 357-04-125.</w:t>
      </w:r>
    </w:p>
    <w:p w14:paraId="417D05D3" w14:textId="3B0394FD" w:rsidR="008C2369" w:rsidRPr="00322949" w:rsidRDefault="008C2369" w:rsidP="008C2369">
      <w:pPr>
        <w:rPr>
          <w:rFonts w:ascii="Arial" w:eastAsia="Calibri" w:hAnsi="Arial" w:cs="Arial"/>
          <w:b/>
          <w:bCs/>
          <w:u w:val="single"/>
        </w:rPr>
      </w:pPr>
      <w:r w:rsidRPr="00322949">
        <w:rPr>
          <w:rFonts w:ascii="Arial" w:eastAsia="Calibri" w:hAnsi="Arial" w:cs="Arial"/>
          <w:b/>
          <w:bCs/>
          <w:u w:val="single"/>
        </w:rPr>
        <w:t>NEW SECTION</w:t>
      </w:r>
    </w:p>
    <w:p w14:paraId="7455479E" w14:textId="77777777" w:rsidR="008C2369" w:rsidRPr="00322949" w:rsidRDefault="008C2369" w:rsidP="008C2369">
      <w:pPr>
        <w:rPr>
          <w:rFonts w:ascii="Arial" w:eastAsia="Calibri" w:hAnsi="Arial" w:cs="Arial"/>
          <w:b/>
          <w:bCs/>
          <w:u w:val="single"/>
        </w:rPr>
      </w:pPr>
      <w:r w:rsidRPr="00322949">
        <w:rPr>
          <w:rFonts w:ascii="Arial" w:eastAsia="Calibri" w:hAnsi="Arial" w:cs="Arial"/>
          <w:b/>
          <w:bCs/>
          <w:u w:val="single"/>
        </w:rPr>
        <w:t>WAC 357-19-179 What provisions apply when a general government employee in classified service is redeployed to a different geographic area?</w:t>
      </w:r>
    </w:p>
    <w:p w14:paraId="06A95BAF" w14:textId="77777777" w:rsidR="008C2369" w:rsidRPr="00322949" w:rsidRDefault="008C2369" w:rsidP="008C2369">
      <w:pPr>
        <w:rPr>
          <w:rFonts w:ascii="Arial" w:eastAsia="Calibri" w:hAnsi="Arial" w:cs="Arial"/>
          <w:u w:val="single"/>
        </w:rPr>
      </w:pPr>
      <w:r w:rsidRPr="00322949">
        <w:rPr>
          <w:rFonts w:ascii="Arial" w:eastAsia="Calibri" w:hAnsi="Arial" w:cs="Arial"/>
          <w:u w:val="single"/>
        </w:rPr>
        <w:t>When a general government employee in classified service is redeployed to a position in a different geographic area, the following applies:</w:t>
      </w:r>
    </w:p>
    <w:p w14:paraId="2A2EEF9D" w14:textId="77777777" w:rsidR="008C2369" w:rsidRPr="0065658B" w:rsidRDefault="008C2369" w:rsidP="008C2369">
      <w:pPr>
        <w:pStyle w:val="ListParagraph"/>
        <w:numPr>
          <w:ilvl w:val="0"/>
          <w:numId w:val="19"/>
        </w:numPr>
        <w:spacing w:after="0" w:line="240" w:lineRule="auto"/>
        <w:rPr>
          <w:rFonts w:ascii="Arial" w:eastAsia="Calibri" w:hAnsi="Arial" w:cs="Arial"/>
          <w:strike/>
          <w:u w:val="single"/>
        </w:rPr>
      </w:pPr>
      <w:bookmarkStart w:id="16" w:name="_Hlk118818698"/>
      <w:r w:rsidRPr="0065658B">
        <w:rPr>
          <w:rFonts w:ascii="Arial" w:eastAsia="Calibri" w:hAnsi="Arial" w:cs="Arial"/>
          <w:u w:val="single"/>
        </w:rPr>
        <w:t xml:space="preserve">If the redeployment is within a reasonable commute of the employee's domicile, they may be redeployed without the employee's agreement. </w:t>
      </w:r>
    </w:p>
    <w:p w14:paraId="65AB25DC" w14:textId="77777777" w:rsidR="008C2369" w:rsidRPr="0065658B" w:rsidRDefault="008C2369" w:rsidP="008C2369">
      <w:pPr>
        <w:pStyle w:val="ListParagraph"/>
        <w:numPr>
          <w:ilvl w:val="0"/>
          <w:numId w:val="19"/>
        </w:numPr>
        <w:spacing w:after="0" w:line="240" w:lineRule="auto"/>
        <w:rPr>
          <w:rFonts w:ascii="Arial" w:eastAsia="Calibri" w:hAnsi="Arial" w:cs="Arial"/>
          <w:strike/>
          <w:u w:val="single"/>
        </w:rPr>
      </w:pPr>
      <w:r w:rsidRPr="0065658B">
        <w:rPr>
          <w:rFonts w:ascii="Arial" w:eastAsia="Calibri" w:hAnsi="Arial" w:cs="Arial"/>
          <w:u w:val="single"/>
        </w:rPr>
        <w:t xml:space="preserve"> If the redeployment is outside of a reasonable commute of the employee's domicile, they may only be redeployed with the employee’s consent. </w:t>
      </w:r>
      <w:bookmarkStart w:id="17" w:name="_Hlk116381803"/>
    </w:p>
    <w:p w14:paraId="71D8623A" w14:textId="77777777" w:rsidR="008C2369" w:rsidRPr="00322949" w:rsidRDefault="008C2369" w:rsidP="005A391D">
      <w:pPr>
        <w:spacing w:before="240" w:line="240" w:lineRule="auto"/>
        <w:rPr>
          <w:rFonts w:ascii="Arial" w:eastAsia="Calibri" w:hAnsi="Arial" w:cs="Arial"/>
          <w:u w:val="single"/>
        </w:rPr>
      </w:pPr>
      <w:r w:rsidRPr="00322949">
        <w:rPr>
          <w:rFonts w:ascii="Arial" w:eastAsia="Calibri" w:hAnsi="Arial" w:cs="Arial"/>
          <w:u w:val="single"/>
        </w:rPr>
        <w:lastRenderedPageBreak/>
        <w:t>For purposes of this section, the general government employer initiating the redeployment defines what is within a reasonable commute.</w:t>
      </w:r>
    </w:p>
    <w:bookmarkEnd w:id="16"/>
    <w:bookmarkEnd w:id="17"/>
    <w:p w14:paraId="153D4E33" w14:textId="77777777" w:rsidR="008C2369" w:rsidRPr="00322949" w:rsidRDefault="008C2369" w:rsidP="005A391D">
      <w:pPr>
        <w:spacing w:before="240"/>
        <w:rPr>
          <w:rFonts w:ascii="Arial" w:hAnsi="Arial" w:cs="Arial"/>
          <w:b/>
          <w:bCs/>
          <w:u w:val="single"/>
        </w:rPr>
      </w:pPr>
      <w:r w:rsidRPr="00322949">
        <w:rPr>
          <w:rFonts w:ascii="Arial" w:hAnsi="Arial" w:cs="Arial"/>
          <w:b/>
          <w:bCs/>
          <w:u w:val="single"/>
        </w:rPr>
        <w:t>AMENDATORY SECTION</w:t>
      </w:r>
    </w:p>
    <w:p w14:paraId="6BEDA935" w14:textId="77777777" w:rsidR="008C2369" w:rsidRPr="00322949" w:rsidRDefault="008C2369" w:rsidP="008C2369">
      <w:pPr>
        <w:pStyle w:val="Heading3"/>
        <w:rPr>
          <w:rFonts w:eastAsia="Calibri" w:cs="Arial"/>
          <w:szCs w:val="22"/>
        </w:rPr>
      </w:pPr>
      <w:r w:rsidRPr="00322949">
        <w:rPr>
          <w:rFonts w:eastAsia="Calibri" w:cs="Arial"/>
          <w:szCs w:val="22"/>
        </w:rPr>
        <w:t xml:space="preserve">WAC 357-19-353 What return rights must an employer provide to a </w:t>
      </w:r>
      <w:r w:rsidRPr="00322949">
        <w:rPr>
          <w:rFonts w:eastAsia="Calibri" w:cs="Arial"/>
          <w:strike/>
          <w:szCs w:val="22"/>
        </w:rPr>
        <w:t xml:space="preserve">permanent </w:t>
      </w:r>
      <w:r w:rsidRPr="00322949">
        <w:rPr>
          <w:rFonts w:eastAsia="Calibri" w:cs="Arial"/>
          <w:szCs w:val="22"/>
        </w:rPr>
        <w:t>WGS employee who accepts an acting WMS appointment?</w:t>
      </w:r>
    </w:p>
    <w:p w14:paraId="17813651" w14:textId="77777777" w:rsidR="008C2369" w:rsidRPr="00322949" w:rsidRDefault="008C2369" w:rsidP="008C2369">
      <w:pPr>
        <w:numPr>
          <w:ilvl w:val="0"/>
          <w:numId w:val="8"/>
        </w:numPr>
        <w:spacing w:after="0" w:line="240" w:lineRule="auto"/>
        <w:contextualSpacing/>
        <w:rPr>
          <w:rFonts w:ascii="Arial" w:eastAsia="Calibri" w:hAnsi="Arial" w:cs="Arial"/>
        </w:rPr>
      </w:pPr>
      <w:r w:rsidRPr="00322949">
        <w:rPr>
          <w:rFonts w:ascii="Arial" w:eastAsia="Calibri" w:hAnsi="Arial" w:cs="Arial"/>
        </w:rPr>
        <w:t>At a minimum, the employer must provide a permanent employee who is leaving a WGS position with the employer to accept a WMS acting appointment</w:t>
      </w:r>
      <w:r w:rsidRPr="00322949">
        <w:rPr>
          <w:rFonts w:ascii="Arial" w:eastAsia="Calibri" w:hAnsi="Arial" w:cs="Arial"/>
          <w:u w:val="single"/>
        </w:rPr>
        <w:t xml:space="preserve"> for reasons specified in with WAC 357-58-265(1)</w:t>
      </w:r>
      <w:r w:rsidRPr="00322949">
        <w:rPr>
          <w:rFonts w:ascii="Arial" w:eastAsia="Calibri" w:hAnsi="Arial" w:cs="Arial"/>
        </w:rPr>
        <w:t xml:space="preserve"> access to the employer's internal layoff list at the conclusion of the acting appointment. If the employer agrees to return the employee to a position, the employee must notify the employer of </w:t>
      </w:r>
      <w:r w:rsidRPr="00322949">
        <w:rPr>
          <w:rFonts w:ascii="Arial" w:eastAsia="Calibri" w:hAnsi="Arial" w:cs="Arial"/>
          <w:strike/>
        </w:rPr>
        <w:t>his/her</w:t>
      </w:r>
      <w:r w:rsidRPr="00322949">
        <w:rPr>
          <w:rFonts w:ascii="Arial" w:eastAsia="Calibri" w:hAnsi="Arial" w:cs="Arial"/>
        </w:rPr>
        <w:t xml:space="preserve"> </w:t>
      </w:r>
      <w:r w:rsidRPr="00322949">
        <w:rPr>
          <w:rFonts w:ascii="Arial" w:eastAsia="Calibri" w:hAnsi="Arial" w:cs="Arial"/>
          <w:u w:val="single"/>
        </w:rPr>
        <w:t>their</w:t>
      </w:r>
      <w:r w:rsidRPr="00322949">
        <w:rPr>
          <w:rFonts w:ascii="Arial" w:eastAsia="Calibri" w:hAnsi="Arial" w:cs="Arial"/>
        </w:rPr>
        <w:t xml:space="preserve"> intent to return to a permanent position at least fourteen (14) calendar days in advance of return unless the employee and employer agree otherwise. Failure of the employee to provide proper written notice to the employer may result in forfeiture of any return rights. Upon return to a permanent position, the employee's salary must be determined by the employer's salary determination policy.</w:t>
      </w:r>
    </w:p>
    <w:p w14:paraId="530D6FCE" w14:textId="77777777" w:rsidR="008C2369" w:rsidRPr="00322949" w:rsidRDefault="008C2369" w:rsidP="008C2369">
      <w:pPr>
        <w:numPr>
          <w:ilvl w:val="0"/>
          <w:numId w:val="8"/>
        </w:numPr>
        <w:spacing w:after="0" w:line="240" w:lineRule="auto"/>
        <w:contextualSpacing/>
        <w:rPr>
          <w:rFonts w:ascii="Arial" w:eastAsia="Calibri" w:hAnsi="Arial" w:cs="Arial"/>
        </w:rPr>
      </w:pPr>
      <w:r w:rsidRPr="00322949">
        <w:rPr>
          <w:rFonts w:ascii="Arial" w:eastAsia="Calibri" w:hAnsi="Arial" w:cs="Arial"/>
          <w:u w:val="single"/>
        </w:rPr>
        <w:t xml:space="preserve">At the conclusion of the redeployment a general government employer must return an employee who was redeployed for reasons specified in WAC 357-58-265(2) to the same WGS position held prior to the redeployment at the conclusion of the redeployment. Upon return to their previous position, the employee’s base salary is set at the step the employee would be at if they had not left the position. </w:t>
      </w:r>
    </w:p>
    <w:p w14:paraId="45871C62" w14:textId="77777777" w:rsidR="008C2369" w:rsidRPr="00322949" w:rsidRDefault="008C2369" w:rsidP="008C2369">
      <w:pPr>
        <w:rPr>
          <w:rFonts w:ascii="Arial" w:eastAsia="Calibri" w:hAnsi="Arial" w:cs="Arial"/>
          <w:b/>
          <w:bCs/>
        </w:rPr>
      </w:pPr>
    </w:p>
    <w:p w14:paraId="6B58C0AD" w14:textId="77777777" w:rsidR="008C2369" w:rsidRPr="00322949" w:rsidRDefault="008C2369" w:rsidP="008C2369">
      <w:pPr>
        <w:rPr>
          <w:rFonts w:ascii="Arial" w:hAnsi="Arial" w:cs="Arial"/>
          <w:b/>
          <w:bCs/>
          <w:u w:val="single"/>
        </w:rPr>
      </w:pPr>
      <w:bookmarkStart w:id="18" w:name="_Hlk112059556"/>
      <w:r w:rsidRPr="00322949">
        <w:rPr>
          <w:rFonts w:ascii="Arial" w:hAnsi="Arial" w:cs="Arial"/>
          <w:b/>
          <w:bCs/>
          <w:u w:val="single"/>
        </w:rPr>
        <w:t>AMENDATORY SECTION</w:t>
      </w:r>
    </w:p>
    <w:p w14:paraId="46E4AE53" w14:textId="77777777" w:rsidR="008C2369" w:rsidRPr="00322949" w:rsidRDefault="008C2369" w:rsidP="008C2369">
      <w:pPr>
        <w:pStyle w:val="Heading3"/>
        <w:rPr>
          <w:rFonts w:eastAsia="Calibri" w:cs="Arial"/>
          <w:szCs w:val="22"/>
        </w:rPr>
      </w:pPr>
      <w:r w:rsidRPr="00322949">
        <w:rPr>
          <w:rFonts w:eastAsia="Calibri" w:cs="Arial"/>
          <w:szCs w:val="22"/>
        </w:rPr>
        <w:t xml:space="preserve">WAC 357-19-360 </w:t>
      </w:r>
      <w:bookmarkEnd w:id="18"/>
      <w:r w:rsidRPr="00322949">
        <w:rPr>
          <w:rFonts w:eastAsia="Calibri" w:cs="Arial"/>
          <w:szCs w:val="22"/>
        </w:rPr>
        <w:t>For what reasons may an employer make nonpermanent appointments?</w:t>
      </w:r>
    </w:p>
    <w:p w14:paraId="4E007B32" w14:textId="77777777" w:rsidR="008C2369" w:rsidRPr="00322949" w:rsidRDefault="008C2369" w:rsidP="008C2369">
      <w:pPr>
        <w:rPr>
          <w:rFonts w:ascii="Arial" w:eastAsia="Calibri" w:hAnsi="Arial" w:cs="Arial"/>
        </w:rPr>
      </w:pPr>
      <w:r w:rsidRPr="00322949">
        <w:rPr>
          <w:rFonts w:ascii="Arial" w:eastAsia="Calibri" w:hAnsi="Arial" w:cs="Arial"/>
          <w:u w:val="single"/>
        </w:rPr>
        <w:t xml:space="preserve">(1) </w:t>
      </w:r>
      <w:r w:rsidRPr="00322949">
        <w:rPr>
          <w:rFonts w:ascii="Arial" w:eastAsia="Calibri" w:hAnsi="Arial" w:cs="Arial"/>
        </w:rPr>
        <w:t>An employer may fill a position with a nonpermanent appointment when any of the following conditions exist:</w:t>
      </w:r>
    </w:p>
    <w:p w14:paraId="03830D3A" w14:textId="77777777" w:rsidR="008C2369" w:rsidRPr="00322949" w:rsidRDefault="008C2369" w:rsidP="008C2369">
      <w:pPr>
        <w:rPr>
          <w:rFonts w:ascii="Arial" w:eastAsia="Calibri" w:hAnsi="Arial" w:cs="Arial"/>
        </w:rPr>
      </w:pPr>
      <w:r w:rsidRPr="00322949">
        <w:rPr>
          <w:rFonts w:ascii="Arial" w:eastAsia="Calibri" w:hAnsi="Arial" w:cs="Arial"/>
          <w:u w:val="single"/>
        </w:rPr>
        <w:t>(a)</w:t>
      </w:r>
      <w:r w:rsidRPr="00322949">
        <w:rPr>
          <w:rFonts w:ascii="Arial" w:eastAsia="Calibri" w:hAnsi="Arial" w:cs="Arial"/>
          <w:strike/>
        </w:rPr>
        <w:t>(1)</w:t>
      </w:r>
      <w:r w:rsidRPr="00322949">
        <w:rPr>
          <w:rFonts w:ascii="Arial" w:eastAsia="Calibri" w:hAnsi="Arial" w:cs="Arial"/>
        </w:rPr>
        <w:t xml:space="preserve"> A permanent employee is absent from the position;</w:t>
      </w:r>
    </w:p>
    <w:p w14:paraId="559F184D" w14:textId="77777777" w:rsidR="008C2369" w:rsidRPr="00322949" w:rsidRDefault="008C2369" w:rsidP="008C2369">
      <w:pPr>
        <w:rPr>
          <w:rFonts w:ascii="Arial" w:eastAsia="Calibri" w:hAnsi="Arial" w:cs="Arial"/>
        </w:rPr>
      </w:pPr>
      <w:r w:rsidRPr="00322949">
        <w:rPr>
          <w:rFonts w:ascii="Arial" w:eastAsia="Calibri" w:hAnsi="Arial" w:cs="Arial"/>
          <w:u w:val="single"/>
        </w:rPr>
        <w:t>(b)</w:t>
      </w:r>
      <w:r w:rsidRPr="00322949">
        <w:rPr>
          <w:rFonts w:ascii="Arial" w:eastAsia="Calibri" w:hAnsi="Arial" w:cs="Arial"/>
          <w:strike/>
        </w:rPr>
        <w:t>(2)</w:t>
      </w:r>
      <w:r w:rsidRPr="00322949">
        <w:rPr>
          <w:rFonts w:ascii="Arial" w:eastAsia="Calibri" w:hAnsi="Arial" w:cs="Arial"/>
        </w:rPr>
        <w:t xml:space="preserve"> The employer is recruiting to fill a vacant position with a permanent appointment;</w:t>
      </w:r>
    </w:p>
    <w:p w14:paraId="53741E95" w14:textId="77777777" w:rsidR="008C2369" w:rsidRPr="00322949" w:rsidRDefault="008C2369" w:rsidP="008C2369">
      <w:pPr>
        <w:rPr>
          <w:rFonts w:ascii="Arial" w:eastAsia="Calibri" w:hAnsi="Arial" w:cs="Arial"/>
        </w:rPr>
      </w:pPr>
      <w:r w:rsidRPr="00322949">
        <w:rPr>
          <w:rFonts w:ascii="Arial" w:eastAsia="Calibri" w:hAnsi="Arial" w:cs="Arial"/>
          <w:u w:val="single"/>
        </w:rPr>
        <w:t>(c)(</w:t>
      </w:r>
      <w:r w:rsidRPr="00322949">
        <w:rPr>
          <w:rFonts w:ascii="Arial" w:eastAsia="Calibri" w:hAnsi="Arial" w:cs="Arial"/>
          <w:strike/>
        </w:rPr>
        <w:t>3)</w:t>
      </w:r>
      <w:r w:rsidRPr="00322949">
        <w:rPr>
          <w:rFonts w:ascii="Arial" w:eastAsia="Calibri" w:hAnsi="Arial" w:cs="Arial"/>
        </w:rPr>
        <w:t xml:space="preserve"> The employer needs to address a short-term immediate workload peak or other short-term needs;</w:t>
      </w:r>
    </w:p>
    <w:p w14:paraId="28C62773" w14:textId="77777777" w:rsidR="008C2369" w:rsidRPr="00322949" w:rsidRDefault="008C2369" w:rsidP="008C2369">
      <w:pPr>
        <w:rPr>
          <w:rFonts w:ascii="Arial" w:eastAsia="Calibri" w:hAnsi="Arial" w:cs="Arial"/>
        </w:rPr>
      </w:pPr>
      <w:r w:rsidRPr="00322949">
        <w:rPr>
          <w:rFonts w:ascii="Arial" w:eastAsia="Calibri" w:hAnsi="Arial" w:cs="Arial"/>
          <w:u w:val="single"/>
        </w:rPr>
        <w:t>(d)</w:t>
      </w:r>
      <w:r w:rsidRPr="00322949">
        <w:rPr>
          <w:rFonts w:ascii="Arial" w:eastAsia="Calibri" w:hAnsi="Arial" w:cs="Arial"/>
          <w:strike/>
        </w:rPr>
        <w:t>(4)</w:t>
      </w:r>
      <w:r w:rsidRPr="00322949">
        <w:rPr>
          <w:rFonts w:ascii="Arial" w:eastAsia="Calibri" w:hAnsi="Arial" w:cs="Arial"/>
        </w:rPr>
        <w:t xml:space="preserve"> The employer is not filling a position with a permanent appointment due to the impending or actual layoff of a permanent employee(s); or</w:t>
      </w:r>
    </w:p>
    <w:p w14:paraId="54E44124" w14:textId="77777777" w:rsidR="008C2369" w:rsidRPr="00322949" w:rsidRDefault="008C2369" w:rsidP="008C2369">
      <w:pPr>
        <w:rPr>
          <w:rFonts w:ascii="Arial" w:eastAsia="Calibri" w:hAnsi="Arial" w:cs="Arial"/>
        </w:rPr>
      </w:pPr>
      <w:r w:rsidRPr="00322949">
        <w:rPr>
          <w:rFonts w:ascii="Arial" w:eastAsia="Calibri" w:hAnsi="Arial" w:cs="Arial"/>
        </w:rPr>
        <w:t>(e)</w:t>
      </w:r>
      <w:r w:rsidRPr="00322949">
        <w:rPr>
          <w:rFonts w:ascii="Arial" w:eastAsia="Calibri" w:hAnsi="Arial" w:cs="Arial"/>
          <w:strike/>
        </w:rPr>
        <w:t>(5)</w:t>
      </w:r>
      <w:r w:rsidRPr="00322949">
        <w:rPr>
          <w:rFonts w:ascii="Arial" w:eastAsia="Calibri" w:hAnsi="Arial" w:cs="Arial"/>
        </w:rPr>
        <w:t xml:space="preserve"> The nature of the work is sporadic and does not fit a particular pattern.</w:t>
      </w:r>
    </w:p>
    <w:p w14:paraId="23B59F91" w14:textId="09B73AE5" w:rsidR="00570A36" w:rsidRDefault="008C2369" w:rsidP="00F66F77">
      <w:pPr>
        <w:spacing w:after="0"/>
        <w:rPr>
          <w:rFonts w:ascii="Arial" w:eastAsia="Calibri" w:hAnsi="Arial" w:cs="Arial"/>
          <w:u w:val="single"/>
        </w:rPr>
      </w:pPr>
      <w:r w:rsidRPr="00322949">
        <w:rPr>
          <w:rFonts w:ascii="Arial" w:eastAsia="Calibri" w:hAnsi="Arial" w:cs="Arial"/>
          <w:u w:val="single"/>
        </w:rPr>
        <w:t xml:space="preserve">(2) </w:t>
      </w:r>
      <w:bookmarkStart w:id="19" w:name="_Hlk141799338"/>
      <w:r w:rsidRPr="00322949">
        <w:rPr>
          <w:rFonts w:ascii="Arial" w:eastAsia="Calibri" w:hAnsi="Arial" w:cs="Arial"/>
          <w:u w:val="single"/>
        </w:rPr>
        <w:t>A general government employer has received director approval to redeploy an employee in accordance with WAC 357-04-125.</w:t>
      </w:r>
      <w:bookmarkEnd w:id="19"/>
    </w:p>
    <w:p w14:paraId="6478ED69" w14:textId="77777777" w:rsidR="00F66F77" w:rsidRPr="00C61356" w:rsidRDefault="00F66F77" w:rsidP="00F66F77">
      <w:pPr>
        <w:spacing w:after="0"/>
        <w:rPr>
          <w:rFonts w:ascii="Arial" w:eastAsia="Calibri" w:hAnsi="Arial" w:cs="Arial"/>
          <w:u w:val="single"/>
        </w:rPr>
      </w:pPr>
    </w:p>
    <w:p w14:paraId="126E201C" w14:textId="77777777" w:rsidR="008C2369" w:rsidRPr="00D254A5" w:rsidRDefault="008C2369" w:rsidP="008C2369">
      <w:pPr>
        <w:rPr>
          <w:rFonts w:ascii="Arial" w:hAnsi="Arial" w:cs="Arial"/>
          <w:b/>
          <w:bCs/>
          <w:highlight w:val="yellow"/>
          <w:u w:val="single"/>
        </w:rPr>
      </w:pPr>
      <w:bookmarkStart w:id="20" w:name="_Hlk142578077"/>
      <w:r w:rsidRPr="00D254A5">
        <w:rPr>
          <w:rFonts w:ascii="Arial" w:hAnsi="Arial" w:cs="Arial"/>
          <w:b/>
          <w:bCs/>
          <w:highlight w:val="yellow"/>
          <w:u w:val="single"/>
        </w:rPr>
        <w:t>AMENDATORY SECTION</w:t>
      </w:r>
    </w:p>
    <w:p w14:paraId="25D28546" w14:textId="77777777" w:rsidR="008C2369" w:rsidRPr="00D254A5" w:rsidRDefault="008C2369" w:rsidP="008C2369">
      <w:pPr>
        <w:pStyle w:val="Heading3"/>
        <w:rPr>
          <w:rFonts w:eastAsia="Calibri"/>
          <w:highlight w:val="yellow"/>
        </w:rPr>
      </w:pPr>
      <w:r w:rsidRPr="00D254A5">
        <w:rPr>
          <w:rFonts w:eastAsia="Calibri"/>
          <w:highlight w:val="yellow"/>
        </w:rPr>
        <w:t>WAC 357-19-365 When is it inappropriate for an employer to fill a position with a nonpermanent appointment to address a short-term immediate workload peak or other short-term needs?</w:t>
      </w:r>
    </w:p>
    <w:p w14:paraId="184FA3A0" w14:textId="07F337DB" w:rsidR="008C2369" w:rsidRPr="00D254A5" w:rsidRDefault="008C2369" w:rsidP="008C2369">
      <w:pPr>
        <w:rPr>
          <w:rFonts w:ascii="Arial" w:eastAsia="Calibri" w:hAnsi="Arial" w:cs="Arial"/>
          <w:highlight w:val="yellow"/>
        </w:rPr>
      </w:pPr>
      <w:r w:rsidRPr="00D254A5">
        <w:rPr>
          <w:rFonts w:ascii="Arial" w:eastAsia="Calibri" w:hAnsi="Arial" w:cs="Arial"/>
          <w:highlight w:val="yellow"/>
        </w:rPr>
        <w:lastRenderedPageBreak/>
        <w:t>Employers must not fill a position with a nonpermanent appointment under the provisions of WAC </w:t>
      </w:r>
      <w:hyperlink r:id="rId28" w:history="1">
        <w:r w:rsidRPr="00D254A5">
          <w:rPr>
            <w:rStyle w:val="Hyperlink"/>
            <w:rFonts w:ascii="Arial" w:eastAsia="Calibri" w:hAnsi="Arial" w:cs="Arial"/>
            <w:highlight w:val="yellow"/>
          </w:rPr>
          <w:t>357-19-360</w:t>
        </w:r>
      </w:hyperlink>
      <w:r w:rsidRPr="00D254A5">
        <w:rPr>
          <w:rFonts w:ascii="Arial" w:eastAsia="Calibri" w:hAnsi="Arial" w:cs="Arial"/>
          <w:highlight w:val="yellow"/>
          <w:u w:val="single"/>
        </w:rPr>
        <w:t>(1)(c)</w:t>
      </w:r>
      <w:r w:rsidRPr="00D254A5">
        <w:rPr>
          <w:rFonts w:ascii="Arial" w:eastAsia="Calibri" w:hAnsi="Arial" w:cs="Arial"/>
          <w:strike/>
          <w:highlight w:val="yellow"/>
        </w:rPr>
        <w:t xml:space="preserve">(3) </w:t>
      </w:r>
      <w:r w:rsidRPr="00D254A5">
        <w:rPr>
          <w:rFonts w:ascii="Arial" w:eastAsia="Calibri" w:hAnsi="Arial" w:cs="Arial"/>
          <w:highlight w:val="yellow"/>
        </w:rPr>
        <w:t>when the work of the position is scheduled, ongoing and permanent in nature. If at any time during a nonpermanent appointment, a short-term workload peak or other short</w:t>
      </w:r>
      <w:r w:rsidR="00112692">
        <w:rPr>
          <w:rFonts w:ascii="Arial" w:eastAsia="Calibri" w:hAnsi="Arial" w:cs="Arial"/>
          <w:highlight w:val="yellow"/>
        </w:rPr>
        <w:t>-</w:t>
      </w:r>
      <w:r w:rsidRPr="00D254A5">
        <w:rPr>
          <w:rFonts w:ascii="Arial" w:eastAsia="Calibri" w:hAnsi="Arial" w:cs="Arial"/>
          <w:highlight w:val="yellow"/>
        </w:rPr>
        <w:t>term need becomes ongoing and permanent in nature, the employer must take action to fill the position on a permanent basis.</w:t>
      </w:r>
    </w:p>
    <w:p w14:paraId="38EB179A" w14:textId="77777777" w:rsidR="00FA3D5D" w:rsidRDefault="00FA3D5D" w:rsidP="008C2369">
      <w:pPr>
        <w:rPr>
          <w:rFonts w:ascii="Arial" w:hAnsi="Arial" w:cs="Arial"/>
          <w:b/>
          <w:bCs/>
          <w:highlight w:val="yellow"/>
          <w:u w:val="single"/>
        </w:rPr>
      </w:pPr>
      <w:bookmarkStart w:id="21" w:name="_Hlk143160777"/>
      <w:bookmarkEnd w:id="20"/>
    </w:p>
    <w:p w14:paraId="6B07F6D4" w14:textId="4C3F7151" w:rsidR="008C2369" w:rsidRPr="00D254A5" w:rsidRDefault="008C2369" w:rsidP="008C2369">
      <w:pPr>
        <w:rPr>
          <w:rFonts w:ascii="Arial" w:hAnsi="Arial" w:cs="Arial"/>
          <w:b/>
          <w:bCs/>
          <w:highlight w:val="yellow"/>
          <w:u w:val="single"/>
        </w:rPr>
      </w:pPr>
      <w:r w:rsidRPr="00D254A5">
        <w:rPr>
          <w:rFonts w:ascii="Arial" w:hAnsi="Arial" w:cs="Arial"/>
          <w:b/>
          <w:bCs/>
          <w:highlight w:val="yellow"/>
          <w:u w:val="single"/>
        </w:rPr>
        <w:t>AMENDATORY SECTION</w:t>
      </w:r>
    </w:p>
    <w:p w14:paraId="2B950061" w14:textId="77777777" w:rsidR="008C2369" w:rsidRPr="00D254A5" w:rsidRDefault="008C2369" w:rsidP="008C2369">
      <w:pPr>
        <w:pStyle w:val="Heading3"/>
        <w:rPr>
          <w:rFonts w:eastAsia="Calibri"/>
          <w:highlight w:val="yellow"/>
        </w:rPr>
      </w:pPr>
      <w:r w:rsidRPr="00D254A5">
        <w:rPr>
          <w:rFonts w:eastAsia="Calibri"/>
          <w:highlight w:val="yellow"/>
        </w:rPr>
        <w:t>WAC 357-19-370 How long may a nonpermanent appointment last?</w:t>
      </w:r>
    </w:p>
    <w:p w14:paraId="0E3C494E" w14:textId="77777777" w:rsidR="008C2369" w:rsidRPr="00D254A5" w:rsidRDefault="008C2369" w:rsidP="008C2369">
      <w:pPr>
        <w:rPr>
          <w:rFonts w:ascii="Arial" w:eastAsia="Calibri" w:hAnsi="Arial" w:cs="Arial"/>
          <w:highlight w:val="yellow"/>
        </w:rPr>
      </w:pPr>
      <w:r w:rsidRPr="00D254A5">
        <w:rPr>
          <w:rFonts w:ascii="Arial" w:eastAsia="Calibri" w:hAnsi="Arial" w:cs="Arial"/>
          <w:highlight w:val="yellow"/>
        </w:rPr>
        <w:t>(1) Employers are encouraged to limit the duration of a nonpermanent appointment</w:t>
      </w:r>
      <w:r w:rsidRPr="00D254A5">
        <w:rPr>
          <w:rFonts w:ascii="Arial" w:eastAsia="Calibri" w:hAnsi="Arial" w:cs="Arial"/>
          <w:highlight w:val="yellow"/>
          <w:u w:val="single"/>
        </w:rPr>
        <w:t xml:space="preserve">s for a </w:t>
      </w:r>
      <w:proofErr w:type="gramStart"/>
      <w:r w:rsidRPr="00D254A5">
        <w:rPr>
          <w:rFonts w:ascii="Arial" w:eastAsia="Calibri" w:hAnsi="Arial" w:cs="Arial"/>
          <w:highlight w:val="yellow"/>
          <w:u w:val="single"/>
        </w:rPr>
        <w:t>reasons</w:t>
      </w:r>
      <w:proofErr w:type="gramEnd"/>
      <w:r w:rsidRPr="00D254A5">
        <w:rPr>
          <w:rFonts w:ascii="Arial" w:eastAsia="Calibri" w:hAnsi="Arial" w:cs="Arial"/>
          <w:highlight w:val="yellow"/>
          <w:u w:val="single"/>
        </w:rPr>
        <w:t xml:space="preserve"> specified in WAC 357-19-360(1) </w:t>
      </w:r>
      <w:r w:rsidRPr="00D254A5">
        <w:rPr>
          <w:rFonts w:ascii="Arial" w:eastAsia="Calibri" w:hAnsi="Arial" w:cs="Arial"/>
          <w:highlight w:val="yellow"/>
        </w:rPr>
        <w:t>to twelve months from the appointment date.</w:t>
      </w:r>
    </w:p>
    <w:p w14:paraId="39D4F46D" w14:textId="1BF2AE76" w:rsidR="008C2369" w:rsidRPr="00D254A5" w:rsidRDefault="008C2369" w:rsidP="008C2369">
      <w:pPr>
        <w:rPr>
          <w:rFonts w:ascii="Arial" w:eastAsia="Calibri" w:hAnsi="Arial" w:cs="Arial"/>
          <w:highlight w:val="yellow"/>
        </w:rPr>
      </w:pPr>
      <w:r w:rsidRPr="00D254A5">
        <w:rPr>
          <w:rFonts w:ascii="Arial" w:eastAsia="Calibri" w:hAnsi="Arial" w:cs="Arial"/>
          <w:highlight w:val="yellow"/>
        </w:rPr>
        <w:t>(2) A nonpermanent appointment for a reason specified in WAC </w:t>
      </w:r>
      <w:hyperlink r:id="rId29" w:history="1">
        <w:r w:rsidRPr="00D254A5">
          <w:rPr>
            <w:rStyle w:val="Hyperlink"/>
            <w:rFonts w:ascii="Arial" w:eastAsia="Calibri" w:hAnsi="Arial" w:cs="Arial"/>
            <w:highlight w:val="yellow"/>
          </w:rPr>
          <w:t>357-19-360</w:t>
        </w:r>
      </w:hyperlink>
      <w:r w:rsidRPr="00D254A5">
        <w:rPr>
          <w:rFonts w:ascii="Arial" w:eastAsia="Calibri" w:hAnsi="Arial" w:cs="Arial"/>
          <w:strike/>
          <w:highlight w:val="yellow"/>
        </w:rPr>
        <w:t> (1) through (4)</w:t>
      </w:r>
      <w:r w:rsidRPr="00D254A5">
        <w:rPr>
          <w:rFonts w:ascii="Arial" w:eastAsia="Calibri" w:hAnsi="Arial" w:cs="Arial"/>
          <w:highlight w:val="yellow"/>
        </w:rPr>
        <w:t xml:space="preserve"> </w:t>
      </w:r>
      <w:r w:rsidRPr="00D254A5">
        <w:rPr>
          <w:rFonts w:ascii="Arial" w:eastAsia="Calibri" w:hAnsi="Arial" w:cs="Arial"/>
          <w:highlight w:val="yellow"/>
          <w:u w:val="single"/>
        </w:rPr>
        <w:t>(1)(a) through (d)</w:t>
      </w:r>
      <w:r w:rsidRPr="00D254A5">
        <w:rPr>
          <w:rFonts w:ascii="Arial" w:eastAsia="Calibri" w:hAnsi="Arial" w:cs="Arial"/>
          <w:highlight w:val="yellow"/>
        </w:rPr>
        <w:t xml:space="preserve"> must not exceed twenty-four months unless the director has approved an extension of the appointment due to the continued absence of a permanent employee. An employer may choose to not count time spent in formal training programs towards the </w:t>
      </w:r>
      <w:proofErr w:type="gramStart"/>
      <w:r w:rsidRPr="00D254A5">
        <w:rPr>
          <w:rFonts w:ascii="Arial" w:eastAsia="Calibri" w:hAnsi="Arial" w:cs="Arial"/>
          <w:highlight w:val="yellow"/>
        </w:rPr>
        <w:t>twenty-four month</w:t>
      </w:r>
      <w:proofErr w:type="gramEnd"/>
      <w:r w:rsidRPr="00D254A5">
        <w:rPr>
          <w:rFonts w:ascii="Arial" w:eastAsia="Calibri" w:hAnsi="Arial" w:cs="Arial"/>
          <w:highlight w:val="yellow"/>
        </w:rPr>
        <w:t xml:space="preserve"> limit. On-the-job training is not considered a formal training program for purposes of this rule.</w:t>
      </w:r>
    </w:p>
    <w:p w14:paraId="39B1D131" w14:textId="4E47B71F" w:rsidR="008C2369" w:rsidRPr="00A630F3" w:rsidRDefault="008C2369" w:rsidP="008C2369">
      <w:pPr>
        <w:rPr>
          <w:rFonts w:ascii="Arial" w:eastAsia="Calibri" w:hAnsi="Arial" w:cs="Arial"/>
          <w:u w:val="single"/>
        </w:rPr>
      </w:pPr>
      <w:r w:rsidRPr="00D254A5">
        <w:rPr>
          <w:rFonts w:ascii="Arial" w:eastAsia="Calibri" w:hAnsi="Arial" w:cs="Arial"/>
          <w:highlight w:val="yellow"/>
          <w:u w:val="single"/>
        </w:rPr>
        <w:t xml:space="preserve">(3) A nonpermanent appointment specified in WAC 357-19-360(2) </w:t>
      </w:r>
      <w:r w:rsidR="00C45003">
        <w:rPr>
          <w:rFonts w:ascii="Arial" w:eastAsia="Calibri" w:hAnsi="Arial" w:cs="Arial"/>
          <w:highlight w:val="yellow"/>
          <w:u w:val="single"/>
        </w:rPr>
        <w:t xml:space="preserve">must </w:t>
      </w:r>
      <w:r w:rsidRPr="00D254A5">
        <w:rPr>
          <w:rFonts w:ascii="Arial" w:eastAsia="Calibri" w:hAnsi="Arial" w:cs="Arial"/>
          <w:highlight w:val="yellow"/>
          <w:u w:val="single"/>
        </w:rPr>
        <w:t xml:space="preserve">not exceed three months unless a longer duration is mutually agreed upon between the employee and general government employer(s) and conditions continue to exist in accordance with WAC 357-04-125. </w:t>
      </w:r>
      <w:bookmarkEnd w:id="21"/>
    </w:p>
    <w:p w14:paraId="75B3053C" w14:textId="77777777" w:rsidR="008C2369" w:rsidRPr="00C61356" w:rsidRDefault="008C2369" w:rsidP="008C2369">
      <w:pPr>
        <w:rPr>
          <w:rFonts w:ascii="Arial" w:hAnsi="Arial" w:cs="Arial"/>
          <w:b/>
          <w:bCs/>
          <w:u w:val="single"/>
        </w:rPr>
      </w:pPr>
      <w:r w:rsidRPr="00C61356">
        <w:rPr>
          <w:rFonts w:ascii="Arial" w:hAnsi="Arial" w:cs="Arial"/>
          <w:b/>
          <w:bCs/>
          <w:u w:val="single"/>
        </w:rPr>
        <w:t>AMENDATORY SECTION</w:t>
      </w:r>
    </w:p>
    <w:p w14:paraId="6FDCD717" w14:textId="77777777" w:rsidR="008C2369" w:rsidRPr="00C61356" w:rsidRDefault="008C2369" w:rsidP="008C2369">
      <w:pPr>
        <w:pStyle w:val="Heading3"/>
        <w:rPr>
          <w:rFonts w:eastAsia="Calibri" w:cs="Arial"/>
          <w:szCs w:val="22"/>
        </w:rPr>
      </w:pPr>
      <w:r w:rsidRPr="00C61356">
        <w:rPr>
          <w:rFonts w:eastAsia="Calibri" w:cs="Arial"/>
          <w:szCs w:val="22"/>
        </w:rPr>
        <w:t>WAC 357-19-388 What notices must employees and their employers provide each other when an employee accepts a nonpermanent appointment?</w:t>
      </w:r>
    </w:p>
    <w:p w14:paraId="063476C9" w14:textId="77777777" w:rsidR="008C2369" w:rsidRPr="00C61356" w:rsidRDefault="008C2369" w:rsidP="008C2369">
      <w:pPr>
        <w:rPr>
          <w:rFonts w:ascii="Arial" w:eastAsia="Calibri" w:hAnsi="Arial" w:cs="Arial"/>
        </w:rPr>
      </w:pPr>
      <w:r w:rsidRPr="00C61356">
        <w:rPr>
          <w:rFonts w:ascii="Arial" w:eastAsia="Calibri" w:hAnsi="Arial" w:cs="Arial"/>
        </w:rPr>
        <w:t xml:space="preserve">Employees who accept a nonpermanent appointment </w:t>
      </w:r>
      <w:r w:rsidRPr="00C61356">
        <w:rPr>
          <w:rFonts w:ascii="Arial" w:eastAsia="Calibri" w:hAnsi="Arial" w:cs="Arial"/>
          <w:u w:val="single"/>
        </w:rPr>
        <w:t>for reasons specified in</w:t>
      </w:r>
      <w:r w:rsidRPr="00C61356">
        <w:rPr>
          <w:rFonts w:ascii="Arial" w:eastAsia="Calibri" w:hAnsi="Arial" w:cs="Arial"/>
        </w:rPr>
        <w:t xml:space="preserve"> </w:t>
      </w:r>
      <w:r w:rsidRPr="00C61356">
        <w:rPr>
          <w:rFonts w:ascii="Arial" w:eastAsia="Calibri" w:hAnsi="Arial" w:cs="Arial"/>
          <w:u w:val="single"/>
        </w:rPr>
        <w:t>WAC </w:t>
      </w:r>
      <w:hyperlink r:id="rId30" w:history="1">
        <w:r w:rsidRPr="00C61356">
          <w:rPr>
            <w:rFonts w:ascii="Arial" w:eastAsia="Calibri" w:hAnsi="Arial" w:cs="Arial"/>
            <w:color w:val="0000FF"/>
            <w:u w:val="single"/>
          </w:rPr>
          <w:t>357-19-360</w:t>
        </w:r>
      </w:hyperlink>
      <w:r w:rsidRPr="00C61356">
        <w:rPr>
          <w:rFonts w:ascii="Arial" w:eastAsia="Calibri" w:hAnsi="Arial" w:cs="Arial"/>
          <w:u w:val="single"/>
        </w:rPr>
        <w:t> (1)</w:t>
      </w:r>
      <w:r w:rsidRPr="00C61356">
        <w:rPr>
          <w:rFonts w:ascii="Arial" w:eastAsia="Calibri" w:hAnsi="Arial" w:cs="Arial"/>
        </w:rPr>
        <w:t xml:space="preserve"> must give their current employers at least fourteen calendar days' notice before moving to a nonpermanent appointment. The current employer and employee may agree to waive or shorten the notice period.</w:t>
      </w:r>
    </w:p>
    <w:p w14:paraId="25BDA003" w14:textId="77777777" w:rsidR="008C2369" w:rsidRPr="00C61356" w:rsidRDefault="008C2369" w:rsidP="008C2369">
      <w:pPr>
        <w:rPr>
          <w:rFonts w:ascii="Arial" w:eastAsia="Calibri" w:hAnsi="Arial" w:cs="Arial"/>
        </w:rPr>
      </w:pPr>
      <w:r w:rsidRPr="00C61356">
        <w:rPr>
          <w:rFonts w:ascii="Arial" w:eastAsia="Calibri" w:hAnsi="Arial" w:cs="Arial"/>
        </w:rPr>
        <w:t>When the current employer receives the employee's notice, the employee's permanent employer must notify the employee in writing of the employee's return right at the conclusion of the nonpermanent appointment.</w:t>
      </w:r>
    </w:p>
    <w:p w14:paraId="76B06642" w14:textId="77777777" w:rsidR="008C2369" w:rsidRDefault="008C2369" w:rsidP="008C2369">
      <w:pPr>
        <w:rPr>
          <w:rFonts w:ascii="Arial" w:eastAsia="Calibri" w:hAnsi="Arial" w:cs="Arial"/>
        </w:rPr>
      </w:pPr>
      <w:r w:rsidRPr="00C61356">
        <w:rPr>
          <w:rFonts w:ascii="Arial" w:eastAsia="Calibri" w:hAnsi="Arial" w:cs="Arial"/>
        </w:rPr>
        <w:t>For purposes of this rule, written notice may be provided using alternative methods such as email, campus mail, the state mail service, or commercial parcel delivery in accordance with WAC </w:t>
      </w:r>
      <w:hyperlink r:id="rId31" w:history="1">
        <w:r w:rsidRPr="00C61356">
          <w:rPr>
            <w:rFonts w:ascii="Arial" w:eastAsia="Calibri" w:hAnsi="Arial" w:cs="Arial"/>
            <w:color w:val="0000FF"/>
            <w:u w:val="single"/>
          </w:rPr>
          <w:t>357-04-105</w:t>
        </w:r>
      </w:hyperlink>
      <w:r w:rsidRPr="00C61356">
        <w:rPr>
          <w:rFonts w:ascii="Arial" w:eastAsia="Calibri" w:hAnsi="Arial" w:cs="Arial"/>
        </w:rPr>
        <w:t>.</w:t>
      </w:r>
    </w:p>
    <w:p w14:paraId="6DC422C0" w14:textId="77777777" w:rsidR="005A391D" w:rsidRPr="00C61356" w:rsidRDefault="005A391D" w:rsidP="008C2369">
      <w:pPr>
        <w:rPr>
          <w:rFonts w:ascii="Arial" w:eastAsia="Calibri" w:hAnsi="Arial" w:cs="Arial"/>
        </w:rPr>
      </w:pPr>
    </w:p>
    <w:p w14:paraId="684FE3A4" w14:textId="77777777" w:rsidR="008C2369" w:rsidRPr="00C61356" w:rsidRDefault="008C2369" w:rsidP="008C2369">
      <w:pPr>
        <w:rPr>
          <w:rFonts w:ascii="Arial" w:hAnsi="Arial" w:cs="Arial"/>
          <w:b/>
          <w:bCs/>
          <w:u w:val="single"/>
        </w:rPr>
      </w:pPr>
      <w:r w:rsidRPr="00C61356">
        <w:rPr>
          <w:rFonts w:ascii="Arial" w:hAnsi="Arial" w:cs="Arial"/>
          <w:b/>
          <w:bCs/>
          <w:u w:val="single"/>
        </w:rPr>
        <w:t>AMENDATORY SECTION</w:t>
      </w:r>
    </w:p>
    <w:p w14:paraId="5BDCF98C" w14:textId="77777777" w:rsidR="008C2369" w:rsidRPr="00C61356" w:rsidRDefault="008C2369" w:rsidP="008C2369">
      <w:pPr>
        <w:pStyle w:val="Heading3"/>
        <w:rPr>
          <w:rFonts w:eastAsia="Calibri" w:cs="Arial"/>
          <w:szCs w:val="22"/>
        </w:rPr>
      </w:pPr>
      <w:r w:rsidRPr="00C61356">
        <w:rPr>
          <w:rFonts w:eastAsia="Calibri" w:cs="Arial"/>
          <w:szCs w:val="22"/>
        </w:rPr>
        <w:t xml:space="preserve">WAC 357-19-395 What return rights must an employer provide to </w:t>
      </w:r>
      <w:proofErr w:type="gramStart"/>
      <w:r w:rsidRPr="00C61356">
        <w:rPr>
          <w:rFonts w:eastAsia="Calibri" w:cs="Arial"/>
          <w:szCs w:val="22"/>
        </w:rPr>
        <w:t>an</w:t>
      </w:r>
      <w:proofErr w:type="gramEnd"/>
      <w:r w:rsidRPr="00C61356">
        <w:rPr>
          <w:rFonts w:eastAsia="Calibri" w:cs="Arial"/>
          <w:szCs w:val="22"/>
        </w:rPr>
        <w:t xml:space="preserve"> </w:t>
      </w:r>
      <w:r w:rsidRPr="00C61356">
        <w:rPr>
          <w:rFonts w:eastAsia="Calibri" w:cs="Arial"/>
          <w:strike/>
          <w:szCs w:val="22"/>
        </w:rPr>
        <w:t>permanent</w:t>
      </w:r>
      <w:r w:rsidRPr="00C61356">
        <w:rPr>
          <w:rFonts w:eastAsia="Calibri" w:cs="Arial"/>
          <w:szCs w:val="22"/>
        </w:rPr>
        <w:t xml:space="preserve"> employee who accepts a nonpermanent appointment?</w:t>
      </w:r>
    </w:p>
    <w:p w14:paraId="475E4A13" w14:textId="77777777" w:rsidR="008C2369" w:rsidRPr="00322949" w:rsidRDefault="008C2369" w:rsidP="008C2369">
      <w:pPr>
        <w:numPr>
          <w:ilvl w:val="0"/>
          <w:numId w:val="7"/>
        </w:numPr>
        <w:spacing w:after="0" w:line="240" w:lineRule="auto"/>
        <w:contextualSpacing/>
        <w:rPr>
          <w:rFonts w:ascii="Arial" w:eastAsia="Calibri" w:hAnsi="Arial" w:cs="Arial"/>
          <w:b/>
          <w:bCs/>
        </w:rPr>
      </w:pPr>
      <w:r w:rsidRPr="00C61356">
        <w:rPr>
          <w:rFonts w:ascii="Arial" w:eastAsia="Calibri" w:hAnsi="Arial" w:cs="Arial"/>
          <w:u w:val="single"/>
        </w:rPr>
        <w:lastRenderedPageBreak/>
        <w:t>For nonpermanent appointments made for reasons specified in</w:t>
      </w:r>
      <w:r w:rsidRPr="00C61356">
        <w:rPr>
          <w:rFonts w:ascii="Arial" w:eastAsia="Calibri" w:hAnsi="Arial" w:cs="Arial"/>
        </w:rPr>
        <w:t xml:space="preserve"> </w:t>
      </w:r>
      <w:r w:rsidRPr="00C61356">
        <w:rPr>
          <w:rFonts w:ascii="Arial" w:eastAsia="Calibri" w:hAnsi="Arial" w:cs="Arial"/>
          <w:u w:val="single"/>
        </w:rPr>
        <w:t>WAC </w:t>
      </w:r>
      <w:hyperlink r:id="rId32" w:history="1">
        <w:r w:rsidRPr="00C61356">
          <w:rPr>
            <w:rFonts w:ascii="Arial" w:eastAsia="Calibri" w:hAnsi="Arial" w:cs="Arial"/>
            <w:color w:val="0000FF"/>
            <w:u w:val="single"/>
          </w:rPr>
          <w:t>357-19-360</w:t>
        </w:r>
      </w:hyperlink>
      <w:r w:rsidRPr="00C61356">
        <w:rPr>
          <w:rFonts w:ascii="Arial" w:eastAsia="Calibri" w:hAnsi="Arial" w:cs="Arial"/>
          <w:u w:val="single"/>
        </w:rPr>
        <w:t> (1),</w:t>
      </w:r>
      <w:r w:rsidRPr="00C61356">
        <w:rPr>
          <w:rFonts w:ascii="Arial" w:eastAsia="Calibri" w:hAnsi="Arial" w:cs="Arial"/>
        </w:rPr>
        <w:t xml:space="preserve"> at a minimum, the employer must provide the permanent employee who is leaving </w:t>
      </w:r>
      <w:r w:rsidRPr="00C61356">
        <w:rPr>
          <w:rFonts w:ascii="Arial" w:eastAsia="Calibri" w:hAnsi="Arial" w:cs="Arial"/>
          <w:strike/>
        </w:rPr>
        <w:t xml:space="preserve">his/her </w:t>
      </w:r>
      <w:r w:rsidRPr="00C61356">
        <w:rPr>
          <w:rFonts w:ascii="Arial" w:eastAsia="Calibri" w:hAnsi="Arial" w:cs="Arial"/>
          <w:u w:val="single"/>
        </w:rPr>
        <w:t xml:space="preserve">their </w:t>
      </w:r>
      <w:r w:rsidRPr="00C61356">
        <w:rPr>
          <w:rFonts w:ascii="Arial" w:eastAsia="Calibri" w:hAnsi="Arial" w:cs="Arial"/>
        </w:rPr>
        <w:t xml:space="preserve">position </w:t>
      </w:r>
      <w:r w:rsidRPr="00322949">
        <w:rPr>
          <w:rFonts w:ascii="Arial" w:eastAsia="Calibri" w:hAnsi="Arial" w:cs="Arial"/>
        </w:rPr>
        <w:t>with the employer to accept a nonpermanent appointment access to the employer’s internal layoff</w:t>
      </w:r>
      <w:r w:rsidRPr="00322949">
        <w:rPr>
          <w:rFonts w:ascii="Arial" w:eastAsia="Calibri" w:hAnsi="Arial" w:cs="Arial"/>
          <w:i/>
          <w:iCs/>
        </w:rPr>
        <w:t xml:space="preserve"> </w:t>
      </w:r>
      <w:r w:rsidRPr="00322949">
        <w:rPr>
          <w:rFonts w:ascii="Arial" w:eastAsia="Calibri" w:hAnsi="Arial" w:cs="Arial"/>
        </w:rPr>
        <w:t xml:space="preserve">list at the conclusion of the nonpermanent appointment. If the employer agrees to return the employee to a position, the employee must notify the employer of </w:t>
      </w:r>
      <w:r w:rsidRPr="00322949">
        <w:rPr>
          <w:rFonts w:ascii="Arial" w:eastAsia="Calibri" w:hAnsi="Arial" w:cs="Arial"/>
          <w:strike/>
        </w:rPr>
        <w:t>his/her</w:t>
      </w:r>
      <w:r w:rsidRPr="00322949">
        <w:rPr>
          <w:rFonts w:ascii="Arial" w:eastAsia="Calibri" w:hAnsi="Arial" w:cs="Arial"/>
        </w:rPr>
        <w:t xml:space="preserve"> </w:t>
      </w:r>
      <w:r w:rsidRPr="00322949">
        <w:rPr>
          <w:rFonts w:ascii="Arial" w:eastAsia="Calibri" w:hAnsi="Arial" w:cs="Arial"/>
          <w:u w:val="single"/>
        </w:rPr>
        <w:t>their</w:t>
      </w:r>
      <w:r w:rsidRPr="00322949">
        <w:rPr>
          <w:rFonts w:ascii="Arial" w:eastAsia="Calibri" w:hAnsi="Arial" w:cs="Arial"/>
        </w:rPr>
        <w:t xml:space="preserve"> intent to return to a permanent position at least fourteen calendar days in advance of return unless the employee and employer agree otherwise. Failure of the employee to provide proper written notice to the employer may result in forfeiture of any return rights. Upon return to a permanent position, the employee’s salary must be determined by the employer’s salary determination policy.</w:t>
      </w:r>
    </w:p>
    <w:p w14:paraId="074C890E" w14:textId="77777777" w:rsidR="008C2369" w:rsidRPr="00322949" w:rsidRDefault="008C2369" w:rsidP="008C2369">
      <w:pPr>
        <w:numPr>
          <w:ilvl w:val="0"/>
          <w:numId w:val="7"/>
        </w:numPr>
        <w:spacing w:after="0" w:line="240" w:lineRule="auto"/>
        <w:contextualSpacing/>
        <w:rPr>
          <w:rFonts w:ascii="Arial" w:eastAsia="Calibri" w:hAnsi="Arial" w:cs="Arial"/>
          <w:b/>
          <w:bCs/>
        </w:rPr>
      </w:pPr>
      <w:r w:rsidRPr="00322949">
        <w:rPr>
          <w:rFonts w:ascii="Arial" w:eastAsia="Calibri" w:hAnsi="Arial" w:cs="Arial"/>
          <w:u w:val="single"/>
        </w:rPr>
        <w:t>For nonpermanent appointments made for reasons specified in WAC 357-19-360 (2) the general government employee must be returned to the same position held prior to the redeployment. Upon return to their previous position, the employee's base salary must be set at the step the employee would be at if they had not left the position.</w:t>
      </w:r>
    </w:p>
    <w:p w14:paraId="1E32A2DF" w14:textId="77777777" w:rsidR="008C2369" w:rsidRDefault="008C2369" w:rsidP="008C2369">
      <w:pPr>
        <w:rPr>
          <w:rFonts w:ascii="Arial" w:hAnsi="Arial" w:cs="Arial"/>
        </w:rPr>
      </w:pPr>
    </w:p>
    <w:p w14:paraId="179F151D" w14:textId="77777777" w:rsidR="008C2369" w:rsidRPr="00D254A5" w:rsidRDefault="008C2369" w:rsidP="008C2369">
      <w:pPr>
        <w:rPr>
          <w:rFonts w:ascii="Arial" w:hAnsi="Arial" w:cs="Arial"/>
          <w:b/>
          <w:bCs/>
          <w:highlight w:val="yellow"/>
          <w:u w:val="single"/>
        </w:rPr>
      </w:pPr>
      <w:bookmarkStart w:id="22" w:name="_Hlk142579597"/>
      <w:r w:rsidRPr="00D254A5">
        <w:rPr>
          <w:rFonts w:ascii="Arial" w:hAnsi="Arial" w:cs="Arial"/>
          <w:b/>
          <w:bCs/>
          <w:highlight w:val="yellow"/>
          <w:u w:val="single"/>
        </w:rPr>
        <w:t>AMENDATORY SECTION</w:t>
      </w:r>
    </w:p>
    <w:p w14:paraId="4CF9B3AE" w14:textId="77777777" w:rsidR="008C2369" w:rsidRPr="00D254A5" w:rsidRDefault="008C2369" w:rsidP="008C2369">
      <w:pPr>
        <w:pStyle w:val="Heading3"/>
        <w:rPr>
          <w:rFonts w:eastAsia="Calibri"/>
          <w:highlight w:val="yellow"/>
        </w:rPr>
      </w:pPr>
      <w:r w:rsidRPr="00D254A5">
        <w:rPr>
          <w:rFonts w:eastAsia="Calibri"/>
          <w:highlight w:val="yellow"/>
        </w:rPr>
        <w:t>WAC 357-19-430 When may the director take remedial action for nonpermanent employees and what does remedial action include?</w:t>
      </w:r>
    </w:p>
    <w:p w14:paraId="226EF241" w14:textId="77777777" w:rsidR="008C2369" w:rsidRPr="00D254A5" w:rsidRDefault="008C2369" w:rsidP="008C2369">
      <w:pPr>
        <w:rPr>
          <w:rFonts w:ascii="Arial" w:eastAsia="Calibri" w:hAnsi="Arial" w:cs="Arial"/>
          <w:highlight w:val="yellow"/>
        </w:rPr>
      </w:pPr>
      <w:r w:rsidRPr="00D254A5">
        <w:rPr>
          <w:rFonts w:ascii="Arial" w:eastAsia="Calibri" w:hAnsi="Arial" w:cs="Arial"/>
          <w:highlight w:val="yellow"/>
        </w:rPr>
        <w:t>The director may take remedial action to confer permanent status, set base salary, and establish seniority when it is determined that the following conditions exist:</w:t>
      </w:r>
    </w:p>
    <w:p w14:paraId="15506B80" w14:textId="77777777" w:rsidR="008C2369" w:rsidRPr="00D254A5" w:rsidRDefault="008C2369" w:rsidP="008C2369">
      <w:pPr>
        <w:rPr>
          <w:rFonts w:ascii="Arial" w:eastAsia="Calibri" w:hAnsi="Arial" w:cs="Arial"/>
          <w:highlight w:val="yellow"/>
        </w:rPr>
      </w:pPr>
      <w:r w:rsidRPr="00D254A5">
        <w:rPr>
          <w:rFonts w:ascii="Arial" w:eastAsia="Calibri" w:hAnsi="Arial" w:cs="Arial"/>
          <w:highlight w:val="yellow"/>
        </w:rPr>
        <w:t>(1) The employer has made an appointment that does not comply with rules on nonpermanent appointment; or</w:t>
      </w:r>
    </w:p>
    <w:p w14:paraId="4938D6B4" w14:textId="3C3B6496" w:rsidR="008C2369" w:rsidRPr="00A630F3" w:rsidRDefault="008C2369" w:rsidP="00FE6771">
      <w:pPr>
        <w:spacing w:before="240"/>
        <w:rPr>
          <w:rFonts w:ascii="Arial" w:eastAsia="Calibri" w:hAnsi="Arial" w:cs="Arial"/>
        </w:rPr>
      </w:pPr>
      <w:r w:rsidRPr="00D254A5">
        <w:rPr>
          <w:rFonts w:ascii="Arial" w:eastAsia="Calibri" w:hAnsi="Arial" w:cs="Arial"/>
          <w:highlight w:val="yellow"/>
        </w:rPr>
        <w:t>(2) The duration of a nonpermanent appointment as defined in WAC </w:t>
      </w:r>
      <w:hyperlink r:id="rId33" w:history="1">
        <w:r w:rsidRPr="00D254A5">
          <w:rPr>
            <w:rStyle w:val="Hyperlink"/>
            <w:rFonts w:ascii="Arial" w:eastAsia="Calibri" w:hAnsi="Arial" w:cs="Arial"/>
            <w:highlight w:val="yellow"/>
          </w:rPr>
          <w:t>357-19-360</w:t>
        </w:r>
      </w:hyperlink>
      <w:r w:rsidRPr="00D254A5">
        <w:rPr>
          <w:rFonts w:ascii="Arial" w:eastAsia="Calibri" w:hAnsi="Arial" w:cs="Arial"/>
          <w:highlight w:val="yellow"/>
        </w:rPr>
        <w:t> </w:t>
      </w:r>
      <w:r w:rsidRPr="00D254A5">
        <w:rPr>
          <w:rFonts w:ascii="Arial" w:eastAsia="Calibri" w:hAnsi="Arial" w:cs="Arial"/>
          <w:strike/>
          <w:highlight w:val="yellow"/>
        </w:rPr>
        <w:t>(1) through (4)</w:t>
      </w:r>
      <w:r w:rsidRPr="00D254A5">
        <w:rPr>
          <w:rFonts w:ascii="Arial" w:eastAsia="Calibri" w:hAnsi="Arial" w:cs="Arial"/>
          <w:highlight w:val="yellow"/>
          <w:u w:val="single"/>
        </w:rPr>
        <w:t>(1)(a) through (d) and 357-19-360 (2)</w:t>
      </w:r>
      <w:r w:rsidRPr="00D254A5">
        <w:rPr>
          <w:rFonts w:ascii="Arial" w:eastAsia="Calibri" w:hAnsi="Arial" w:cs="Arial"/>
          <w:highlight w:val="yellow"/>
        </w:rPr>
        <w:t xml:space="preserve"> has exceeded twenty-four months without director approval.</w:t>
      </w:r>
      <w:bookmarkEnd w:id="22"/>
      <w:r>
        <w:rPr>
          <w:rFonts w:ascii="Arial" w:hAnsi="Arial" w:cs="Arial"/>
        </w:rPr>
        <w:tab/>
      </w:r>
    </w:p>
    <w:p w14:paraId="02269776" w14:textId="77777777" w:rsidR="008C2369" w:rsidRPr="00322949" w:rsidRDefault="008C2369" w:rsidP="00FE6771">
      <w:pPr>
        <w:spacing w:before="240"/>
        <w:rPr>
          <w:rFonts w:ascii="Arial" w:hAnsi="Arial" w:cs="Arial"/>
          <w:b/>
          <w:bCs/>
        </w:rPr>
      </w:pPr>
      <w:r w:rsidRPr="00322949">
        <w:rPr>
          <w:rFonts w:ascii="Arial" w:hAnsi="Arial" w:cs="Arial"/>
          <w:b/>
          <w:bCs/>
        </w:rPr>
        <w:t>WAC 357-28, Compensation:</w:t>
      </w:r>
    </w:p>
    <w:p w14:paraId="1D8D2B4A" w14:textId="47271ADB" w:rsidR="008C2369" w:rsidRPr="00322949" w:rsidRDefault="008C2369" w:rsidP="008C2369">
      <w:pPr>
        <w:rPr>
          <w:rFonts w:ascii="Arial" w:hAnsi="Arial" w:cs="Arial"/>
          <w:b/>
          <w:bCs/>
          <w:u w:val="single"/>
        </w:rPr>
      </w:pPr>
      <w:r w:rsidRPr="00322949">
        <w:rPr>
          <w:rFonts w:ascii="Arial" w:hAnsi="Arial" w:cs="Arial"/>
          <w:b/>
          <w:bCs/>
          <w:u w:val="single"/>
        </w:rPr>
        <w:t>NEW SECTION</w:t>
      </w:r>
    </w:p>
    <w:p w14:paraId="4BC269CF" w14:textId="77777777" w:rsidR="008C2369" w:rsidRPr="00322949" w:rsidRDefault="008C2369" w:rsidP="008C2369">
      <w:pPr>
        <w:pStyle w:val="Heading3"/>
        <w:rPr>
          <w:rFonts w:cs="Arial"/>
          <w:szCs w:val="22"/>
          <w:u w:val="single"/>
        </w:rPr>
      </w:pPr>
      <w:r w:rsidRPr="00322949">
        <w:rPr>
          <w:rFonts w:cs="Arial"/>
          <w:szCs w:val="22"/>
          <w:u w:val="single"/>
        </w:rPr>
        <w:t>WAC 357-28-148 How is a general government employee’s salary determined when the employee is redeployed for reasons specified in WAC 357-19-360(2)?</w:t>
      </w:r>
    </w:p>
    <w:p w14:paraId="7C621651" w14:textId="77777777" w:rsidR="008C2369" w:rsidRPr="00322949" w:rsidRDefault="008C2369" w:rsidP="008C2369">
      <w:pPr>
        <w:rPr>
          <w:rFonts w:ascii="Arial" w:hAnsi="Arial" w:cs="Arial"/>
          <w:u w:val="single"/>
        </w:rPr>
      </w:pPr>
      <w:r w:rsidRPr="00322949">
        <w:rPr>
          <w:rFonts w:ascii="Arial" w:eastAsia="Times New Roman" w:hAnsi="Arial" w:cs="Arial"/>
          <w:color w:val="000000"/>
          <w:u w:val="single"/>
        </w:rPr>
        <w:t xml:space="preserve">The base salary of a general government employee appointed to a position for reasons specified in </w:t>
      </w:r>
      <w:r w:rsidRPr="00322949">
        <w:rPr>
          <w:rFonts w:ascii="Arial" w:hAnsi="Arial" w:cs="Arial"/>
          <w:u w:val="single"/>
        </w:rPr>
        <w:t>WAC 357-19-360(2) must be determined as follows:</w:t>
      </w:r>
    </w:p>
    <w:p w14:paraId="59FF25BF" w14:textId="77777777" w:rsidR="008C2369" w:rsidRPr="00322949" w:rsidRDefault="008C2369" w:rsidP="008C2369">
      <w:pPr>
        <w:pStyle w:val="ListParagraph"/>
        <w:numPr>
          <w:ilvl w:val="0"/>
          <w:numId w:val="13"/>
        </w:numPr>
        <w:rPr>
          <w:rFonts w:ascii="Arial" w:eastAsia="Times New Roman" w:hAnsi="Arial" w:cs="Arial"/>
          <w:color w:val="000000"/>
          <w:u w:val="single"/>
        </w:rPr>
      </w:pPr>
      <w:r w:rsidRPr="00322949">
        <w:rPr>
          <w:rFonts w:ascii="Arial" w:eastAsia="Times New Roman" w:hAnsi="Arial" w:cs="Arial"/>
          <w:color w:val="000000"/>
          <w:u w:val="single"/>
        </w:rPr>
        <w:t>An employee who is redeployed to a position with the same salary range keeps the same base salary.</w:t>
      </w:r>
    </w:p>
    <w:p w14:paraId="2C580833" w14:textId="77777777" w:rsidR="008C2369" w:rsidRPr="00322949" w:rsidRDefault="008C2369" w:rsidP="008C2369">
      <w:pPr>
        <w:pStyle w:val="ListParagraph"/>
        <w:numPr>
          <w:ilvl w:val="0"/>
          <w:numId w:val="13"/>
        </w:numPr>
        <w:rPr>
          <w:rFonts w:ascii="Arial" w:eastAsia="Times New Roman" w:hAnsi="Arial" w:cs="Arial"/>
          <w:color w:val="000000"/>
          <w:u w:val="single"/>
        </w:rPr>
      </w:pPr>
      <w:r w:rsidRPr="00322949">
        <w:rPr>
          <w:rFonts w:ascii="Arial" w:eastAsia="Times New Roman" w:hAnsi="Arial" w:cs="Arial"/>
          <w:color w:val="000000"/>
          <w:u w:val="single"/>
        </w:rPr>
        <w:t xml:space="preserve">An employee who is redeployed to a position with a lower salary range maximum must be placed within the new range at a salary equal to the employee’s previous base salary. If the employee’s previous base salary exceeds the new salary range, the employee’s base salary may be set higher than step M but not exceeding their prior base salary. </w:t>
      </w:r>
    </w:p>
    <w:p w14:paraId="483F5103" w14:textId="77777777" w:rsidR="008C2369" w:rsidRPr="00322949" w:rsidRDefault="008C2369" w:rsidP="008C2369">
      <w:pPr>
        <w:pStyle w:val="ListParagraph"/>
        <w:numPr>
          <w:ilvl w:val="0"/>
          <w:numId w:val="13"/>
        </w:numPr>
        <w:rPr>
          <w:rFonts w:ascii="Arial" w:eastAsia="Times New Roman" w:hAnsi="Arial" w:cs="Arial"/>
          <w:color w:val="000000"/>
          <w:u w:val="single"/>
        </w:rPr>
      </w:pPr>
      <w:r w:rsidRPr="00322949">
        <w:rPr>
          <w:rFonts w:ascii="Arial" w:eastAsia="Times New Roman" w:hAnsi="Arial" w:cs="Arial"/>
          <w:color w:val="000000"/>
          <w:u w:val="single"/>
        </w:rPr>
        <w:t>An employee who is redeployed to a position with a higher salary range must have their salary set in accordance with WAC 357-28-110.</w:t>
      </w:r>
    </w:p>
    <w:p w14:paraId="4013BAAE" w14:textId="77777777" w:rsidR="008C2369" w:rsidRPr="00322949" w:rsidRDefault="008C2369" w:rsidP="008C2369">
      <w:pPr>
        <w:pStyle w:val="Heading3"/>
        <w:rPr>
          <w:rFonts w:eastAsia="Calibri" w:cs="Arial"/>
          <w:szCs w:val="22"/>
        </w:rPr>
      </w:pPr>
      <w:r w:rsidRPr="00322949">
        <w:rPr>
          <w:rFonts w:eastAsia="Calibri" w:cs="Arial"/>
          <w:szCs w:val="22"/>
        </w:rPr>
        <w:lastRenderedPageBreak/>
        <w:t>WAC 357-58, Washington Management Service:</w:t>
      </w:r>
    </w:p>
    <w:p w14:paraId="4FED6FD7" w14:textId="77777777" w:rsidR="008C2369" w:rsidRPr="00322949" w:rsidRDefault="008C2369" w:rsidP="008C2369">
      <w:pPr>
        <w:rPr>
          <w:rFonts w:ascii="Arial" w:hAnsi="Arial" w:cs="Arial"/>
          <w:b/>
          <w:bCs/>
          <w:u w:val="single"/>
        </w:rPr>
      </w:pPr>
      <w:bookmarkStart w:id="23" w:name="_Hlk142568272"/>
      <w:r w:rsidRPr="00322949">
        <w:rPr>
          <w:rFonts w:ascii="Arial" w:hAnsi="Arial" w:cs="Arial"/>
          <w:b/>
          <w:bCs/>
          <w:u w:val="single"/>
        </w:rPr>
        <w:t>AMENDATORY SECTION</w:t>
      </w:r>
    </w:p>
    <w:p w14:paraId="62E861A5" w14:textId="77777777" w:rsidR="008C2369" w:rsidRPr="00322949" w:rsidRDefault="008C2369" w:rsidP="008C2369">
      <w:pPr>
        <w:pStyle w:val="Heading3"/>
        <w:rPr>
          <w:rFonts w:eastAsia="Calibri" w:cs="Arial"/>
          <w:szCs w:val="22"/>
        </w:rPr>
      </w:pPr>
      <w:r w:rsidRPr="00322949">
        <w:rPr>
          <w:rFonts w:eastAsia="Calibri" w:cs="Arial"/>
          <w:szCs w:val="22"/>
        </w:rPr>
        <w:t>WAC 357-58-065 Definitions for WMS.</w:t>
      </w:r>
    </w:p>
    <w:bookmarkEnd w:id="23"/>
    <w:p w14:paraId="07F6EF48" w14:textId="77777777" w:rsidR="008C2369" w:rsidRPr="00322949" w:rsidRDefault="008C2369" w:rsidP="008C2369">
      <w:pPr>
        <w:rPr>
          <w:rFonts w:ascii="Arial" w:eastAsia="Calibri" w:hAnsi="Arial" w:cs="Arial"/>
        </w:rPr>
      </w:pPr>
      <w:r w:rsidRPr="00322949">
        <w:rPr>
          <w:rFonts w:ascii="Arial" w:eastAsia="Calibri" w:hAnsi="Arial" w:cs="Arial"/>
        </w:rPr>
        <w:t>The following definitions apply to chapter </w:t>
      </w:r>
      <w:hyperlink r:id="rId34" w:history="1">
        <w:r w:rsidRPr="00322949">
          <w:rPr>
            <w:rFonts w:ascii="Arial" w:eastAsia="Calibri" w:hAnsi="Arial" w:cs="Arial"/>
            <w:b/>
            <w:bCs/>
            <w:color w:val="0563C1"/>
            <w:u w:val="single"/>
          </w:rPr>
          <w:t>357-58</w:t>
        </w:r>
      </w:hyperlink>
      <w:r w:rsidRPr="00322949">
        <w:rPr>
          <w:rFonts w:ascii="Arial" w:eastAsia="Calibri" w:hAnsi="Arial" w:cs="Arial"/>
        </w:rPr>
        <w:t> WAC:</w:t>
      </w:r>
    </w:p>
    <w:p w14:paraId="274645B2" w14:textId="77777777" w:rsidR="008C2369" w:rsidRPr="00322949" w:rsidRDefault="008C2369" w:rsidP="008C2369">
      <w:pPr>
        <w:rPr>
          <w:rFonts w:ascii="Arial" w:eastAsia="Calibri" w:hAnsi="Arial" w:cs="Arial"/>
        </w:rPr>
      </w:pPr>
      <w:r w:rsidRPr="00322949">
        <w:rPr>
          <w:rFonts w:ascii="Arial" w:eastAsia="Calibri" w:hAnsi="Arial" w:cs="Arial"/>
        </w:rPr>
        <w:t>(1) </w:t>
      </w:r>
      <w:r w:rsidRPr="00322949">
        <w:rPr>
          <w:rFonts w:ascii="Arial" w:eastAsia="Calibri" w:hAnsi="Arial" w:cs="Arial"/>
          <w:b/>
          <w:bCs/>
        </w:rPr>
        <w:t>Break in service.</w:t>
      </w:r>
      <w:r w:rsidRPr="00322949">
        <w:rPr>
          <w:rFonts w:ascii="Arial" w:eastAsia="Calibri" w:hAnsi="Arial" w:cs="Arial"/>
        </w:rPr>
        <w:t> An employee has a break in continuous state service if the employee is separated, dismissed or resigns from state service. A furlough for the purposes of temporary layoff as provided in WAC </w:t>
      </w:r>
      <w:hyperlink r:id="rId35" w:history="1">
        <w:r w:rsidRPr="00322949">
          <w:rPr>
            <w:rFonts w:ascii="Arial" w:eastAsia="Calibri" w:hAnsi="Arial" w:cs="Arial"/>
            <w:b/>
            <w:bCs/>
            <w:color w:val="0563C1"/>
            <w:u w:val="single"/>
          </w:rPr>
          <w:t>357-58-550</w:t>
        </w:r>
      </w:hyperlink>
      <w:r w:rsidRPr="00322949">
        <w:rPr>
          <w:rFonts w:ascii="Arial" w:eastAsia="Calibri" w:hAnsi="Arial" w:cs="Arial"/>
        </w:rPr>
        <w:t> is not considered a break in continuous state service.</w:t>
      </w:r>
    </w:p>
    <w:p w14:paraId="4DEC7B68" w14:textId="77777777" w:rsidR="008C2369" w:rsidRPr="00322949" w:rsidRDefault="008C2369" w:rsidP="008C2369">
      <w:pPr>
        <w:rPr>
          <w:rFonts w:ascii="Arial" w:eastAsia="Calibri" w:hAnsi="Arial" w:cs="Arial"/>
        </w:rPr>
      </w:pPr>
      <w:r w:rsidRPr="00322949">
        <w:rPr>
          <w:rFonts w:ascii="Arial" w:eastAsia="Calibri" w:hAnsi="Arial" w:cs="Arial"/>
        </w:rPr>
        <w:t>(2) </w:t>
      </w:r>
      <w:r w:rsidRPr="00322949">
        <w:rPr>
          <w:rFonts w:ascii="Arial" w:eastAsia="Calibri" w:hAnsi="Arial" w:cs="Arial"/>
          <w:b/>
          <w:bCs/>
        </w:rPr>
        <w:t>Choice performance confirmation.</w:t>
      </w:r>
      <w:r w:rsidRPr="00322949">
        <w:rPr>
          <w:rFonts w:ascii="Arial" w:eastAsia="Calibri" w:hAnsi="Arial" w:cs="Arial"/>
        </w:rPr>
        <w:t> Approval granted by the director to an employer allowing the employer to factor in individual employee performance when granting recognition leave.</w:t>
      </w:r>
    </w:p>
    <w:p w14:paraId="04471209" w14:textId="77777777" w:rsidR="008C2369" w:rsidRPr="00322949" w:rsidRDefault="008C2369" w:rsidP="008C2369">
      <w:pPr>
        <w:rPr>
          <w:rFonts w:ascii="Arial" w:eastAsia="Calibri" w:hAnsi="Arial" w:cs="Arial"/>
        </w:rPr>
      </w:pPr>
      <w:r w:rsidRPr="00322949">
        <w:rPr>
          <w:rFonts w:ascii="Arial" w:eastAsia="Calibri" w:hAnsi="Arial" w:cs="Arial"/>
        </w:rPr>
        <w:t>(3) </w:t>
      </w:r>
      <w:r w:rsidRPr="00322949">
        <w:rPr>
          <w:rFonts w:ascii="Arial" w:eastAsia="Calibri" w:hAnsi="Arial" w:cs="Arial"/>
          <w:b/>
          <w:bCs/>
        </w:rPr>
        <w:t>Competencies.</w:t>
      </w:r>
      <w:r w:rsidRPr="00322949">
        <w:rPr>
          <w:rFonts w:ascii="Arial" w:eastAsia="Calibri" w:hAnsi="Arial" w:cs="Arial"/>
        </w:rPr>
        <w:t xml:space="preserve"> Those measurable or observable knowledge, skills, </w:t>
      </w:r>
      <w:proofErr w:type="gramStart"/>
      <w:r w:rsidRPr="00322949">
        <w:rPr>
          <w:rFonts w:ascii="Arial" w:eastAsia="Calibri" w:hAnsi="Arial" w:cs="Arial"/>
        </w:rPr>
        <w:t>abilities</w:t>
      </w:r>
      <w:proofErr w:type="gramEnd"/>
      <w:r w:rsidRPr="00322949">
        <w:rPr>
          <w:rFonts w:ascii="Arial" w:eastAsia="Calibri" w:hAnsi="Arial" w:cs="Arial"/>
        </w:rPr>
        <w:t xml:space="preserve"> and behaviors critical to success in a key job role or function.</w:t>
      </w:r>
    </w:p>
    <w:p w14:paraId="358BA129" w14:textId="77777777" w:rsidR="008C2369" w:rsidRPr="00322949" w:rsidRDefault="008C2369" w:rsidP="008C2369">
      <w:pPr>
        <w:rPr>
          <w:rFonts w:ascii="Arial" w:eastAsia="Calibri" w:hAnsi="Arial" w:cs="Arial"/>
        </w:rPr>
      </w:pPr>
      <w:r w:rsidRPr="00322949">
        <w:rPr>
          <w:rFonts w:ascii="Arial" w:eastAsia="Calibri" w:hAnsi="Arial" w:cs="Arial"/>
        </w:rPr>
        <w:t>(4) </w:t>
      </w:r>
      <w:r w:rsidRPr="00322949">
        <w:rPr>
          <w:rFonts w:ascii="Arial" w:eastAsia="Calibri" w:hAnsi="Arial" w:cs="Arial"/>
          <w:b/>
          <w:bCs/>
        </w:rPr>
        <w:t>Director.</w:t>
      </w:r>
      <w:r w:rsidRPr="00322949">
        <w:rPr>
          <w:rFonts w:ascii="Arial" w:eastAsia="Calibri" w:hAnsi="Arial" w:cs="Arial"/>
        </w:rPr>
        <w:t> State human resources director within the office of financial management.</w:t>
      </w:r>
    </w:p>
    <w:p w14:paraId="48B27D15" w14:textId="77777777" w:rsidR="008C2369" w:rsidRPr="00322949" w:rsidRDefault="008C2369" w:rsidP="008C2369">
      <w:pPr>
        <w:rPr>
          <w:rFonts w:ascii="Arial" w:eastAsia="Calibri" w:hAnsi="Arial" w:cs="Arial"/>
        </w:rPr>
      </w:pPr>
      <w:r w:rsidRPr="00322949">
        <w:rPr>
          <w:rFonts w:ascii="Arial" w:eastAsia="Calibri" w:hAnsi="Arial" w:cs="Arial"/>
        </w:rPr>
        <w:t>(5) </w:t>
      </w:r>
      <w:r w:rsidRPr="00322949">
        <w:rPr>
          <w:rFonts w:ascii="Arial" w:eastAsia="Calibri" w:hAnsi="Arial" w:cs="Arial"/>
          <w:b/>
          <w:bCs/>
        </w:rPr>
        <w:t>Dismissal.</w:t>
      </w:r>
      <w:r w:rsidRPr="00322949">
        <w:rPr>
          <w:rFonts w:ascii="Arial" w:eastAsia="Calibri" w:hAnsi="Arial" w:cs="Arial"/>
        </w:rPr>
        <w:t> The termination of an individual's employment for disciplinary reasons.</w:t>
      </w:r>
    </w:p>
    <w:p w14:paraId="02756AA5" w14:textId="77777777" w:rsidR="008C2369" w:rsidRPr="00322949" w:rsidRDefault="008C2369" w:rsidP="008C2369">
      <w:pPr>
        <w:rPr>
          <w:rFonts w:ascii="Arial" w:eastAsia="Calibri" w:hAnsi="Arial" w:cs="Arial"/>
        </w:rPr>
      </w:pPr>
      <w:r w:rsidRPr="00322949">
        <w:rPr>
          <w:rFonts w:ascii="Arial" w:eastAsia="Calibri" w:hAnsi="Arial" w:cs="Arial"/>
        </w:rPr>
        <w:t>(6) </w:t>
      </w:r>
      <w:r w:rsidRPr="00322949">
        <w:rPr>
          <w:rFonts w:ascii="Arial" w:eastAsia="Calibri" w:hAnsi="Arial" w:cs="Arial"/>
          <w:b/>
          <w:bCs/>
        </w:rPr>
        <w:t>Employee.</w:t>
      </w:r>
      <w:r w:rsidRPr="00322949">
        <w:rPr>
          <w:rFonts w:ascii="Arial" w:eastAsia="Calibri" w:hAnsi="Arial" w:cs="Arial"/>
        </w:rPr>
        <w:t> An individual working in the classified service. Employee business unit members are defined in WAC </w:t>
      </w:r>
      <w:hyperlink r:id="rId36" w:history="1">
        <w:r w:rsidRPr="00322949">
          <w:rPr>
            <w:rFonts w:ascii="Arial" w:eastAsia="Calibri" w:hAnsi="Arial" w:cs="Arial"/>
            <w:b/>
            <w:bCs/>
            <w:color w:val="0563C1"/>
            <w:u w:val="single"/>
          </w:rPr>
          <w:t>357-43-001</w:t>
        </w:r>
      </w:hyperlink>
      <w:r w:rsidRPr="00322949">
        <w:rPr>
          <w:rFonts w:ascii="Arial" w:eastAsia="Calibri" w:hAnsi="Arial" w:cs="Arial"/>
        </w:rPr>
        <w:t>.</w:t>
      </w:r>
    </w:p>
    <w:p w14:paraId="6D88F183" w14:textId="77777777" w:rsidR="008C2369" w:rsidRPr="00322949" w:rsidRDefault="008C2369" w:rsidP="008C2369">
      <w:pPr>
        <w:rPr>
          <w:rFonts w:ascii="Arial" w:eastAsia="Calibri" w:hAnsi="Arial" w:cs="Arial"/>
        </w:rPr>
      </w:pPr>
      <w:r w:rsidRPr="00322949">
        <w:rPr>
          <w:rFonts w:ascii="Arial" w:eastAsia="Calibri" w:hAnsi="Arial" w:cs="Arial"/>
        </w:rPr>
        <w:t>(7) </w:t>
      </w:r>
      <w:r w:rsidRPr="00322949">
        <w:rPr>
          <w:rFonts w:ascii="Arial" w:eastAsia="Calibri" w:hAnsi="Arial" w:cs="Arial"/>
          <w:b/>
          <w:bCs/>
        </w:rPr>
        <w:t>Evaluation points.</w:t>
      </w:r>
      <w:r w:rsidRPr="00322949">
        <w:rPr>
          <w:rFonts w:ascii="Arial" w:eastAsia="Calibri" w:hAnsi="Arial" w:cs="Arial"/>
        </w:rPr>
        <w:t> The points resulting from an evaluation of a position using the managerial job value assessment chart.</w:t>
      </w:r>
    </w:p>
    <w:p w14:paraId="39A629ED" w14:textId="77777777" w:rsidR="008C2369" w:rsidRPr="00322949" w:rsidRDefault="008C2369" w:rsidP="008C2369">
      <w:pPr>
        <w:rPr>
          <w:rFonts w:ascii="Arial" w:eastAsia="Calibri" w:hAnsi="Arial" w:cs="Arial"/>
        </w:rPr>
      </w:pPr>
      <w:r w:rsidRPr="00322949">
        <w:rPr>
          <w:rFonts w:ascii="Arial" w:eastAsia="Calibri" w:hAnsi="Arial" w:cs="Arial"/>
        </w:rPr>
        <w:t>(8) </w:t>
      </w:r>
      <w:r w:rsidRPr="00322949">
        <w:rPr>
          <w:rFonts w:ascii="Arial" w:eastAsia="Calibri" w:hAnsi="Arial" w:cs="Arial"/>
          <w:b/>
          <w:bCs/>
        </w:rPr>
        <w:t>Layoff unit.</w:t>
      </w:r>
      <w:r w:rsidRPr="00322949">
        <w:rPr>
          <w:rFonts w:ascii="Arial" w:eastAsia="Calibri" w:hAnsi="Arial" w:cs="Arial"/>
        </w:rPr>
        <w:t> A clearly identified structure within an employer's organization within which layoff options are determined in accordance with the employer's layoff procedure. Layoff units may be a series of progressively larger units within an employer's organization.</w:t>
      </w:r>
    </w:p>
    <w:p w14:paraId="36A332E7" w14:textId="77777777" w:rsidR="008C2369" w:rsidRPr="00322949" w:rsidRDefault="008C2369" w:rsidP="008C2369">
      <w:pPr>
        <w:rPr>
          <w:rFonts w:ascii="Arial" w:eastAsia="Calibri" w:hAnsi="Arial" w:cs="Arial"/>
        </w:rPr>
      </w:pPr>
      <w:r w:rsidRPr="00322949">
        <w:rPr>
          <w:rFonts w:ascii="Arial" w:eastAsia="Calibri" w:hAnsi="Arial" w:cs="Arial"/>
        </w:rPr>
        <w:t>(9) </w:t>
      </w:r>
      <w:r w:rsidRPr="00322949">
        <w:rPr>
          <w:rFonts w:ascii="Arial" w:eastAsia="Calibri" w:hAnsi="Arial" w:cs="Arial"/>
          <w:b/>
          <w:bCs/>
        </w:rPr>
        <w:t>Management bands.</w:t>
      </w:r>
      <w:r w:rsidRPr="00322949">
        <w:rPr>
          <w:rFonts w:ascii="Arial" w:eastAsia="Calibri" w:hAnsi="Arial" w:cs="Arial"/>
        </w:rPr>
        <w:t> A series of management levels included in the WMS. Placement in a band reflects the nature of management, decision-making environment and policy impact and scope of management accountability and control assigned to the position.</w:t>
      </w:r>
    </w:p>
    <w:p w14:paraId="2DE49E89" w14:textId="77777777" w:rsidR="008C2369" w:rsidRPr="00322949" w:rsidRDefault="008C2369" w:rsidP="008C2369">
      <w:pPr>
        <w:rPr>
          <w:rFonts w:ascii="Arial" w:eastAsia="Calibri" w:hAnsi="Arial" w:cs="Arial"/>
        </w:rPr>
      </w:pPr>
      <w:r w:rsidRPr="00322949">
        <w:rPr>
          <w:rFonts w:ascii="Arial" w:eastAsia="Calibri" w:hAnsi="Arial" w:cs="Arial"/>
        </w:rPr>
        <w:t>(10) </w:t>
      </w:r>
      <w:r w:rsidRPr="00322949">
        <w:rPr>
          <w:rFonts w:ascii="Arial" w:eastAsia="Calibri" w:hAnsi="Arial" w:cs="Arial"/>
          <w:b/>
          <w:bCs/>
        </w:rPr>
        <w:t>Premium.</w:t>
      </w:r>
      <w:r w:rsidRPr="00322949">
        <w:rPr>
          <w:rFonts w:ascii="Arial" w:eastAsia="Calibri" w:hAnsi="Arial" w:cs="Arial"/>
        </w:rPr>
        <w:t> Pay added to an employee's base salary on a contingent basis in recognition of special requirements, conditions or circumstances associated with the job.</w:t>
      </w:r>
    </w:p>
    <w:p w14:paraId="36A2C6B6" w14:textId="77777777" w:rsidR="008C2369" w:rsidRPr="00322949" w:rsidRDefault="008C2369" w:rsidP="008C2369">
      <w:pPr>
        <w:rPr>
          <w:rFonts w:ascii="Arial" w:eastAsia="Calibri" w:hAnsi="Arial" w:cs="Arial"/>
        </w:rPr>
      </w:pPr>
      <w:r w:rsidRPr="00322949">
        <w:rPr>
          <w:rFonts w:ascii="Arial" w:eastAsia="Calibri" w:hAnsi="Arial" w:cs="Arial"/>
        </w:rPr>
        <w:t>(11) </w:t>
      </w:r>
      <w:r w:rsidRPr="00322949">
        <w:rPr>
          <w:rFonts w:ascii="Arial" w:eastAsia="Calibri" w:hAnsi="Arial" w:cs="Arial"/>
          <w:b/>
          <w:bCs/>
        </w:rPr>
        <w:t>Reassignment.</w:t>
      </w:r>
      <w:r w:rsidRPr="00322949">
        <w:rPr>
          <w:rFonts w:ascii="Arial" w:eastAsia="Calibri" w:hAnsi="Arial" w:cs="Arial"/>
        </w:rPr>
        <w:t xml:space="preserve"> An </w:t>
      </w:r>
      <w:proofErr w:type="gramStart"/>
      <w:r w:rsidRPr="00322949">
        <w:rPr>
          <w:rFonts w:ascii="Arial" w:eastAsia="Calibri" w:hAnsi="Arial" w:cs="Arial"/>
        </w:rPr>
        <w:t>employer initiated</w:t>
      </w:r>
      <w:proofErr w:type="gramEnd"/>
      <w:r w:rsidRPr="00322949">
        <w:rPr>
          <w:rFonts w:ascii="Arial" w:eastAsia="Calibri" w:hAnsi="Arial" w:cs="Arial"/>
        </w:rPr>
        <w:t xml:space="preserve"> movement of:</w:t>
      </w:r>
    </w:p>
    <w:p w14:paraId="1DADFEE6" w14:textId="77777777" w:rsidR="008C2369" w:rsidRPr="00322949" w:rsidRDefault="008C2369" w:rsidP="008C2369">
      <w:pPr>
        <w:rPr>
          <w:rFonts w:ascii="Arial" w:eastAsia="Calibri" w:hAnsi="Arial" w:cs="Arial"/>
        </w:rPr>
      </w:pPr>
      <w:r w:rsidRPr="00322949">
        <w:rPr>
          <w:rFonts w:ascii="Arial" w:eastAsia="Calibri" w:hAnsi="Arial" w:cs="Arial"/>
        </w:rPr>
        <w:t>(a) A WMS employee from one position to a different position within WMS with the same salary standard and/or evaluation points; or</w:t>
      </w:r>
    </w:p>
    <w:p w14:paraId="37187BAC" w14:textId="77777777" w:rsidR="008C2369" w:rsidRPr="00322949" w:rsidRDefault="008C2369" w:rsidP="008C2369">
      <w:pPr>
        <w:rPr>
          <w:rFonts w:ascii="Arial" w:eastAsia="Calibri" w:hAnsi="Arial" w:cs="Arial"/>
        </w:rPr>
      </w:pPr>
      <w:r w:rsidRPr="00322949">
        <w:rPr>
          <w:rFonts w:ascii="Arial" w:eastAsia="Calibri" w:hAnsi="Arial" w:cs="Arial"/>
        </w:rPr>
        <w:t>(b) A WMS position and the employee in that position from one section, department or geographical location to another section, department or geographical location.</w:t>
      </w:r>
    </w:p>
    <w:p w14:paraId="414D3F37" w14:textId="77777777" w:rsidR="008C2369" w:rsidRPr="00322949" w:rsidRDefault="008C2369" w:rsidP="008C2369">
      <w:pPr>
        <w:rPr>
          <w:rFonts w:ascii="Arial" w:eastAsia="Calibri" w:hAnsi="Arial" w:cs="Arial"/>
          <w:u w:val="single"/>
        </w:rPr>
      </w:pPr>
      <w:bookmarkStart w:id="24" w:name="_Hlk142568283"/>
      <w:r w:rsidRPr="00322949">
        <w:rPr>
          <w:rFonts w:ascii="Arial" w:eastAsia="Calibri" w:hAnsi="Arial" w:cs="Arial"/>
          <w:u w:val="single"/>
        </w:rPr>
        <w:t xml:space="preserve">(12) </w:t>
      </w:r>
      <w:r w:rsidRPr="00322949">
        <w:rPr>
          <w:rFonts w:ascii="Arial" w:eastAsia="Calibri" w:hAnsi="Arial" w:cs="Arial"/>
          <w:b/>
          <w:bCs/>
          <w:u w:val="single"/>
        </w:rPr>
        <w:t>Redeployment.</w:t>
      </w:r>
      <w:r w:rsidRPr="00322949">
        <w:rPr>
          <w:rFonts w:ascii="Arial" w:eastAsia="Calibri" w:hAnsi="Arial" w:cs="Arial"/>
          <w:u w:val="single"/>
        </w:rPr>
        <w:t xml:space="preserve"> A general government employer-initiated movement of a Washington Management Services employee within or between general government employers to a position in the same or different salary standard and/or evaluation points for a limited duration to support staffing shortages during an emergency or disaster in accordance with WAC 357-04-125.</w:t>
      </w:r>
    </w:p>
    <w:bookmarkEnd w:id="24"/>
    <w:p w14:paraId="4B7EF0A1" w14:textId="77777777" w:rsidR="008C2369" w:rsidRPr="00C61356" w:rsidRDefault="008C2369" w:rsidP="008C2369">
      <w:pPr>
        <w:rPr>
          <w:rFonts w:ascii="Arial" w:eastAsia="Calibri" w:hAnsi="Arial" w:cs="Arial"/>
        </w:rPr>
      </w:pPr>
      <w:r w:rsidRPr="00322949">
        <w:rPr>
          <w:rFonts w:ascii="Arial" w:eastAsia="Calibri" w:hAnsi="Arial" w:cs="Arial"/>
        </w:rPr>
        <w:lastRenderedPageBreak/>
        <w:t>(13)(</w:t>
      </w:r>
      <w:r w:rsidRPr="00322949">
        <w:rPr>
          <w:rFonts w:ascii="Arial" w:eastAsia="Calibri" w:hAnsi="Arial" w:cs="Arial"/>
          <w:strike/>
        </w:rPr>
        <w:t>12)</w:t>
      </w:r>
      <w:r w:rsidRPr="00322949">
        <w:rPr>
          <w:rFonts w:ascii="Arial" w:eastAsia="Calibri" w:hAnsi="Arial" w:cs="Arial"/>
        </w:rPr>
        <w:t> </w:t>
      </w:r>
      <w:r w:rsidRPr="00322949">
        <w:rPr>
          <w:rFonts w:ascii="Arial" w:eastAsia="Calibri" w:hAnsi="Arial" w:cs="Arial"/>
          <w:b/>
          <w:bCs/>
        </w:rPr>
        <w:t>Review period.</w:t>
      </w:r>
      <w:r w:rsidRPr="00322949">
        <w:rPr>
          <w:rFonts w:ascii="Arial" w:eastAsia="Calibri" w:hAnsi="Arial" w:cs="Arial"/>
        </w:rPr>
        <w:t> </w:t>
      </w:r>
      <w:proofErr w:type="gramStart"/>
      <w:r w:rsidRPr="00322949">
        <w:rPr>
          <w:rFonts w:ascii="Arial" w:eastAsia="Calibri" w:hAnsi="Arial" w:cs="Arial"/>
        </w:rPr>
        <w:t>A period of time</w:t>
      </w:r>
      <w:proofErr w:type="gramEnd"/>
      <w:r w:rsidRPr="00322949">
        <w:rPr>
          <w:rFonts w:ascii="Arial" w:eastAsia="Calibri" w:hAnsi="Arial" w:cs="Arial"/>
        </w:rPr>
        <w:t xml:space="preserve"> that allows the employer an opportunity to ensure the WMS employee meets the requirements and performance standards of the</w:t>
      </w:r>
      <w:r w:rsidRPr="00C61356">
        <w:rPr>
          <w:rFonts w:ascii="Arial" w:eastAsia="Calibri" w:hAnsi="Arial" w:cs="Arial"/>
        </w:rPr>
        <w:t xml:space="preserve"> position.</w:t>
      </w:r>
    </w:p>
    <w:p w14:paraId="5FE22D8C" w14:textId="77777777" w:rsidR="008C2369" w:rsidRPr="00C61356" w:rsidRDefault="008C2369" w:rsidP="008C2369">
      <w:pPr>
        <w:rPr>
          <w:rFonts w:ascii="Arial" w:eastAsia="Calibri" w:hAnsi="Arial" w:cs="Arial"/>
        </w:rPr>
      </w:pPr>
      <w:r w:rsidRPr="00C61356">
        <w:rPr>
          <w:rFonts w:ascii="Arial" w:eastAsia="Calibri" w:hAnsi="Arial" w:cs="Arial"/>
        </w:rPr>
        <w:t>(14)</w:t>
      </w:r>
      <w:r w:rsidRPr="00C61356">
        <w:rPr>
          <w:rFonts w:ascii="Arial" w:eastAsia="Calibri" w:hAnsi="Arial" w:cs="Arial"/>
          <w:strike/>
        </w:rPr>
        <w:t>(13) </w:t>
      </w:r>
      <w:r w:rsidRPr="00C61356">
        <w:rPr>
          <w:rFonts w:ascii="Arial" w:eastAsia="Calibri" w:hAnsi="Arial" w:cs="Arial"/>
          <w:b/>
          <w:bCs/>
        </w:rPr>
        <w:t>Salary standard.</w:t>
      </w:r>
      <w:r w:rsidRPr="00C61356">
        <w:rPr>
          <w:rFonts w:ascii="Arial" w:eastAsia="Calibri" w:hAnsi="Arial" w:cs="Arial"/>
        </w:rPr>
        <w:t> Within a management band a salary standard is the maximum dollar amount assigned to a position in those agencies that use a salary standard in addition to, or in place of, evaluation points.</w:t>
      </w:r>
    </w:p>
    <w:p w14:paraId="02FA44A1" w14:textId="77777777" w:rsidR="008C2369" w:rsidRPr="00C61356" w:rsidRDefault="008C2369" w:rsidP="008C2369">
      <w:pPr>
        <w:rPr>
          <w:rFonts w:ascii="Arial" w:eastAsia="Calibri" w:hAnsi="Arial" w:cs="Arial"/>
        </w:rPr>
      </w:pPr>
      <w:r w:rsidRPr="00C61356">
        <w:rPr>
          <w:rFonts w:ascii="Arial" w:eastAsia="Calibri" w:hAnsi="Arial" w:cs="Arial"/>
        </w:rPr>
        <w:t>(15)</w:t>
      </w:r>
      <w:r w:rsidRPr="00C61356">
        <w:rPr>
          <w:rFonts w:ascii="Arial" w:eastAsia="Calibri" w:hAnsi="Arial" w:cs="Arial"/>
          <w:strike/>
        </w:rPr>
        <w:t>(14) </w:t>
      </w:r>
      <w:r w:rsidRPr="00C61356">
        <w:rPr>
          <w:rFonts w:ascii="Arial" w:eastAsia="Calibri" w:hAnsi="Arial" w:cs="Arial"/>
          <w:b/>
          <w:bCs/>
        </w:rPr>
        <w:t>Separation.</w:t>
      </w:r>
      <w:r w:rsidRPr="00C61356">
        <w:rPr>
          <w:rFonts w:ascii="Arial" w:eastAsia="Calibri" w:hAnsi="Arial" w:cs="Arial"/>
        </w:rPr>
        <w:t xml:space="preserve"> Separation from state employment for </w:t>
      </w:r>
      <w:proofErr w:type="spellStart"/>
      <w:r w:rsidRPr="00C61356">
        <w:rPr>
          <w:rFonts w:ascii="Arial" w:eastAsia="Calibri" w:hAnsi="Arial" w:cs="Arial"/>
        </w:rPr>
        <w:t>nondisciplinary</w:t>
      </w:r>
      <w:proofErr w:type="spellEnd"/>
      <w:r w:rsidRPr="00C61356">
        <w:rPr>
          <w:rFonts w:ascii="Arial" w:eastAsia="Calibri" w:hAnsi="Arial" w:cs="Arial"/>
        </w:rPr>
        <w:t xml:space="preserve"> reasons.</w:t>
      </w:r>
    </w:p>
    <w:p w14:paraId="56279620" w14:textId="77777777" w:rsidR="008C2369" w:rsidRPr="00C61356" w:rsidRDefault="008C2369" w:rsidP="008C2369">
      <w:pPr>
        <w:rPr>
          <w:rFonts w:ascii="Arial" w:eastAsia="Calibri" w:hAnsi="Arial" w:cs="Arial"/>
        </w:rPr>
      </w:pPr>
      <w:r w:rsidRPr="00C61356">
        <w:rPr>
          <w:rFonts w:ascii="Arial" w:eastAsia="Calibri" w:hAnsi="Arial" w:cs="Arial"/>
        </w:rPr>
        <w:t>(16)</w:t>
      </w:r>
      <w:r w:rsidRPr="00C61356">
        <w:rPr>
          <w:rFonts w:ascii="Arial" w:eastAsia="Calibri" w:hAnsi="Arial" w:cs="Arial"/>
          <w:strike/>
        </w:rPr>
        <w:t>(15)</w:t>
      </w:r>
      <w:r w:rsidRPr="00C61356">
        <w:rPr>
          <w:rFonts w:ascii="Arial" w:eastAsia="Calibri" w:hAnsi="Arial" w:cs="Arial"/>
        </w:rPr>
        <w:t> </w:t>
      </w:r>
      <w:r w:rsidRPr="00C61356">
        <w:rPr>
          <w:rFonts w:ascii="Arial" w:eastAsia="Calibri" w:hAnsi="Arial" w:cs="Arial"/>
          <w:b/>
          <w:bCs/>
        </w:rPr>
        <w:t>Suspension.</w:t>
      </w:r>
      <w:r w:rsidRPr="00C61356">
        <w:rPr>
          <w:rFonts w:ascii="Arial" w:eastAsia="Calibri" w:hAnsi="Arial" w:cs="Arial"/>
        </w:rPr>
        <w:t xml:space="preserve"> An absence without </w:t>
      </w:r>
      <w:proofErr w:type="gramStart"/>
      <w:r w:rsidRPr="00C61356">
        <w:rPr>
          <w:rFonts w:ascii="Arial" w:eastAsia="Calibri" w:hAnsi="Arial" w:cs="Arial"/>
        </w:rPr>
        <w:t>pay</w:t>
      </w:r>
      <w:proofErr w:type="gramEnd"/>
      <w:r w:rsidRPr="00C61356">
        <w:rPr>
          <w:rFonts w:ascii="Arial" w:eastAsia="Calibri" w:hAnsi="Arial" w:cs="Arial"/>
        </w:rPr>
        <w:t xml:space="preserve"> for disciplinary reasons.</w:t>
      </w:r>
    </w:p>
    <w:p w14:paraId="47B727F6" w14:textId="77777777" w:rsidR="008C2369" w:rsidRPr="00C61356" w:rsidRDefault="008C2369" w:rsidP="008C2369">
      <w:pPr>
        <w:rPr>
          <w:rFonts w:ascii="Arial" w:eastAsia="Calibri" w:hAnsi="Arial" w:cs="Arial"/>
        </w:rPr>
      </w:pPr>
      <w:r w:rsidRPr="00C61356">
        <w:rPr>
          <w:rFonts w:ascii="Arial" w:eastAsia="Calibri" w:hAnsi="Arial" w:cs="Arial"/>
        </w:rPr>
        <w:t>(17)</w:t>
      </w:r>
      <w:r w:rsidRPr="00C61356">
        <w:rPr>
          <w:rFonts w:ascii="Arial" w:eastAsia="Calibri" w:hAnsi="Arial" w:cs="Arial"/>
          <w:strike/>
        </w:rPr>
        <w:t>(16) </w:t>
      </w:r>
      <w:r w:rsidRPr="00C61356">
        <w:rPr>
          <w:rFonts w:ascii="Arial" w:eastAsia="Calibri" w:hAnsi="Arial" w:cs="Arial"/>
          <w:b/>
          <w:bCs/>
        </w:rPr>
        <w:t>Transfer.</w:t>
      </w:r>
      <w:r w:rsidRPr="00C61356">
        <w:rPr>
          <w:rFonts w:ascii="Arial" w:eastAsia="Calibri" w:hAnsi="Arial" w:cs="Arial"/>
        </w:rPr>
        <w:t xml:space="preserve"> An </w:t>
      </w:r>
      <w:proofErr w:type="gramStart"/>
      <w:r w:rsidRPr="00C61356">
        <w:rPr>
          <w:rFonts w:ascii="Arial" w:eastAsia="Calibri" w:hAnsi="Arial" w:cs="Arial"/>
        </w:rPr>
        <w:t>employee initiated</w:t>
      </w:r>
      <w:proofErr w:type="gramEnd"/>
      <w:r w:rsidRPr="00C61356">
        <w:rPr>
          <w:rFonts w:ascii="Arial" w:eastAsia="Calibri" w:hAnsi="Arial" w:cs="Arial"/>
        </w:rPr>
        <w:t xml:space="preserve"> movement from one position to a different position with the same salary standard and/or same evaluation points.</w:t>
      </w:r>
    </w:p>
    <w:p w14:paraId="5884ED25" w14:textId="77777777" w:rsidR="008C2369" w:rsidRPr="00C61356" w:rsidRDefault="008C2369" w:rsidP="008C2369">
      <w:pPr>
        <w:rPr>
          <w:rFonts w:ascii="Arial" w:eastAsia="Calibri" w:hAnsi="Arial" w:cs="Arial"/>
        </w:rPr>
      </w:pPr>
      <w:r w:rsidRPr="00C61356">
        <w:rPr>
          <w:rFonts w:ascii="Arial" w:eastAsia="Calibri" w:hAnsi="Arial" w:cs="Arial"/>
        </w:rPr>
        <w:t>(18)</w:t>
      </w:r>
      <w:r w:rsidRPr="00C61356">
        <w:rPr>
          <w:rFonts w:ascii="Arial" w:eastAsia="Calibri" w:hAnsi="Arial" w:cs="Arial"/>
          <w:strike/>
        </w:rPr>
        <w:t>(17) </w:t>
      </w:r>
      <w:r w:rsidRPr="00C61356">
        <w:rPr>
          <w:rFonts w:ascii="Arial" w:eastAsia="Calibri" w:hAnsi="Arial" w:cs="Arial"/>
          <w:b/>
          <w:bCs/>
        </w:rPr>
        <w:t>Veterans placement program.</w:t>
      </w:r>
      <w:r w:rsidRPr="00C61356">
        <w:rPr>
          <w:rFonts w:ascii="Arial" w:eastAsia="Calibri" w:hAnsi="Arial" w:cs="Arial"/>
        </w:rPr>
        <w:t> A program that is designated to grant transitioning service members and veterans additional support to attain state employment.</w:t>
      </w:r>
    </w:p>
    <w:p w14:paraId="7E8A8A0A" w14:textId="77777777" w:rsidR="008C2369" w:rsidRPr="00C61356" w:rsidRDefault="008C2369" w:rsidP="008C2369">
      <w:pPr>
        <w:rPr>
          <w:rFonts w:ascii="Arial" w:eastAsia="Calibri" w:hAnsi="Arial" w:cs="Arial"/>
        </w:rPr>
      </w:pPr>
      <w:r w:rsidRPr="00C61356">
        <w:rPr>
          <w:rFonts w:ascii="Arial" w:eastAsia="Calibri" w:hAnsi="Arial" w:cs="Arial"/>
        </w:rPr>
        <w:t>(19)</w:t>
      </w:r>
      <w:r w:rsidRPr="00C61356">
        <w:rPr>
          <w:rFonts w:ascii="Arial" w:eastAsia="Calibri" w:hAnsi="Arial" w:cs="Arial"/>
          <w:strike/>
        </w:rPr>
        <w:t>(18) </w:t>
      </w:r>
      <w:r w:rsidRPr="00C61356">
        <w:rPr>
          <w:rFonts w:ascii="Arial" w:eastAsia="Calibri" w:hAnsi="Arial" w:cs="Arial"/>
          <w:b/>
          <w:bCs/>
        </w:rPr>
        <w:t>Washington general service (WGS).</w:t>
      </w:r>
      <w:r w:rsidRPr="00C61356">
        <w:rPr>
          <w:rFonts w:ascii="Arial" w:eastAsia="Calibri" w:hAnsi="Arial" w:cs="Arial"/>
        </w:rPr>
        <w:t> The system of personnel administration that applies to classified employees or positions under the jurisdiction of chapter </w:t>
      </w:r>
      <w:hyperlink r:id="rId37" w:history="1">
        <w:r w:rsidRPr="00C61356">
          <w:rPr>
            <w:rFonts w:ascii="Arial" w:eastAsia="Calibri" w:hAnsi="Arial" w:cs="Arial"/>
            <w:b/>
            <w:bCs/>
            <w:color w:val="0563C1"/>
            <w:u w:val="single"/>
          </w:rPr>
          <w:t>41.06</w:t>
        </w:r>
      </w:hyperlink>
      <w:r w:rsidRPr="00C61356">
        <w:rPr>
          <w:rFonts w:ascii="Arial" w:eastAsia="Calibri" w:hAnsi="Arial" w:cs="Arial"/>
        </w:rPr>
        <w:t> RCW which do not meet the definition of manager found in RCW </w:t>
      </w:r>
      <w:hyperlink r:id="rId38" w:history="1">
        <w:r w:rsidRPr="00C61356">
          <w:rPr>
            <w:rFonts w:ascii="Arial" w:eastAsia="Calibri" w:hAnsi="Arial" w:cs="Arial"/>
            <w:b/>
            <w:bCs/>
            <w:color w:val="0563C1"/>
            <w:u w:val="single"/>
          </w:rPr>
          <w:t>41.06.022</w:t>
        </w:r>
      </w:hyperlink>
      <w:r w:rsidRPr="00C61356">
        <w:rPr>
          <w:rFonts w:ascii="Arial" w:eastAsia="Calibri" w:hAnsi="Arial" w:cs="Arial"/>
        </w:rPr>
        <w:t>.</w:t>
      </w:r>
    </w:p>
    <w:p w14:paraId="23DEAD87" w14:textId="77777777" w:rsidR="008C2369" w:rsidRPr="00C61356" w:rsidRDefault="008C2369" w:rsidP="008C2369">
      <w:pPr>
        <w:rPr>
          <w:rFonts w:ascii="Arial" w:eastAsia="Calibri" w:hAnsi="Arial" w:cs="Arial"/>
        </w:rPr>
      </w:pPr>
      <w:r w:rsidRPr="00C61356">
        <w:rPr>
          <w:rFonts w:ascii="Arial" w:eastAsia="Calibri" w:hAnsi="Arial" w:cs="Arial"/>
        </w:rPr>
        <w:t>(20)</w:t>
      </w:r>
      <w:r w:rsidRPr="00C61356">
        <w:rPr>
          <w:rFonts w:ascii="Arial" w:eastAsia="Calibri" w:hAnsi="Arial" w:cs="Arial"/>
          <w:strike/>
        </w:rPr>
        <w:t>(19) </w:t>
      </w:r>
      <w:r w:rsidRPr="00C61356">
        <w:rPr>
          <w:rFonts w:ascii="Arial" w:eastAsia="Calibri" w:hAnsi="Arial" w:cs="Arial"/>
          <w:b/>
          <w:bCs/>
        </w:rPr>
        <w:t>Washington management service (WMS).</w:t>
      </w:r>
      <w:r w:rsidRPr="00C61356">
        <w:rPr>
          <w:rFonts w:ascii="Arial" w:eastAsia="Calibri" w:hAnsi="Arial" w:cs="Arial"/>
        </w:rPr>
        <w:t> The system of personnel administration that applies to classified managerial employees or positions under the jurisdiction of RCW </w:t>
      </w:r>
      <w:hyperlink r:id="rId39" w:history="1">
        <w:r w:rsidRPr="00C61356">
          <w:rPr>
            <w:rFonts w:ascii="Arial" w:eastAsia="Calibri" w:hAnsi="Arial" w:cs="Arial"/>
            <w:b/>
            <w:bCs/>
            <w:color w:val="0563C1"/>
            <w:u w:val="single"/>
          </w:rPr>
          <w:t>41.06.022</w:t>
        </w:r>
      </w:hyperlink>
      <w:r w:rsidRPr="00C61356">
        <w:rPr>
          <w:rFonts w:ascii="Arial" w:eastAsia="Calibri" w:hAnsi="Arial" w:cs="Arial"/>
        </w:rPr>
        <w:t> and </w:t>
      </w:r>
      <w:hyperlink r:id="rId40" w:history="1">
        <w:r w:rsidRPr="00C61356">
          <w:rPr>
            <w:rFonts w:ascii="Arial" w:eastAsia="Calibri" w:hAnsi="Arial" w:cs="Arial"/>
            <w:b/>
            <w:bCs/>
            <w:color w:val="0563C1"/>
            <w:u w:val="single"/>
          </w:rPr>
          <w:t>41.06.500</w:t>
        </w:r>
      </w:hyperlink>
      <w:r w:rsidRPr="00C61356">
        <w:rPr>
          <w:rFonts w:ascii="Arial" w:eastAsia="Calibri" w:hAnsi="Arial" w:cs="Arial"/>
        </w:rPr>
        <w:t>.</w:t>
      </w:r>
    </w:p>
    <w:p w14:paraId="30B3CC51" w14:textId="423E11DC" w:rsidR="008C2369" w:rsidRPr="00D254A5" w:rsidRDefault="008C2369" w:rsidP="008C2369">
      <w:pPr>
        <w:rPr>
          <w:rFonts w:ascii="Arial" w:hAnsi="Arial" w:cs="Arial"/>
          <w:b/>
          <w:bCs/>
          <w:u w:val="single"/>
        </w:rPr>
      </w:pPr>
      <w:bookmarkStart w:id="25" w:name="_Hlk145935848"/>
      <w:r w:rsidRPr="00D254A5">
        <w:rPr>
          <w:rFonts w:ascii="Arial" w:hAnsi="Arial" w:cs="Arial"/>
          <w:b/>
          <w:bCs/>
          <w:u w:val="single"/>
        </w:rPr>
        <w:t>NEW SECTION</w:t>
      </w:r>
    </w:p>
    <w:p w14:paraId="7CB202B5" w14:textId="77777777" w:rsidR="008C2369" w:rsidRPr="00D254A5" w:rsidRDefault="008C2369" w:rsidP="008C2369">
      <w:pPr>
        <w:pStyle w:val="Heading3"/>
        <w:rPr>
          <w:rFonts w:cs="Arial"/>
          <w:szCs w:val="22"/>
          <w:u w:val="single"/>
        </w:rPr>
      </w:pPr>
      <w:r w:rsidRPr="00D254A5">
        <w:rPr>
          <w:rFonts w:cs="Arial"/>
          <w:szCs w:val="22"/>
          <w:u w:val="single"/>
        </w:rPr>
        <w:t>WAC 357-58-</w:t>
      </w:r>
      <w:proofErr w:type="gramStart"/>
      <w:r w:rsidRPr="00D254A5">
        <w:rPr>
          <w:rFonts w:cs="Arial"/>
          <w:szCs w:val="22"/>
          <w:u w:val="single"/>
        </w:rPr>
        <w:t>128  How</w:t>
      </w:r>
      <w:proofErr w:type="gramEnd"/>
      <w:r w:rsidRPr="00D254A5">
        <w:rPr>
          <w:rFonts w:cs="Arial"/>
          <w:szCs w:val="22"/>
          <w:u w:val="single"/>
        </w:rPr>
        <w:t xml:space="preserve"> is a</w:t>
      </w:r>
      <w:r w:rsidRPr="00D254A5">
        <w:rPr>
          <w:rFonts w:cs="Arial"/>
          <w:strike/>
          <w:szCs w:val="22"/>
          <w:highlight w:val="yellow"/>
          <w:u w:val="single"/>
        </w:rPr>
        <w:t>n</w:t>
      </w:r>
      <w:r w:rsidRPr="00D254A5">
        <w:rPr>
          <w:rFonts w:cs="Arial"/>
          <w:szCs w:val="22"/>
          <w:u w:val="single"/>
        </w:rPr>
        <w:t xml:space="preserve"> WMS employee’s salary determined when the employee is redeployed for reasons specified in WAC 357-58-265(2)?</w:t>
      </w:r>
    </w:p>
    <w:p w14:paraId="541EDE4D" w14:textId="77777777" w:rsidR="008C2369" w:rsidRPr="00D254A5" w:rsidRDefault="008C2369" w:rsidP="008C2369">
      <w:pPr>
        <w:rPr>
          <w:rFonts w:ascii="Arial" w:hAnsi="Arial" w:cs="Arial"/>
          <w:u w:val="single"/>
        </w:rPr>
      </w:pPr>
      <w:r w:rsidRPr="00D254A5">
        <w:rPr>
          <w:rFonts w:ascii="Arial" w:eastAsia="Times New Roman" w:hAnsi="Arial" w:cs="Arial"/>
          <w:color w:val="000000"/>
          <w:u w:val="single"/>
        </w:rPr>
        <w:t>The base salary of a</w:t>
      </w:r>
      <w:r w:rsidRPr="00D254A5">
        <w:rPr>
          <w:rFonts w:ascii="Arial" w:eastAsia="Times New Roman" w:hAnsi="Arial" w:cs="Arial"/>
          <w:strike/>
          <w:color w:val="000000"/>
          <w:highlight w:val="yellow"/>
          <w:u w:val="single"/>
        </w:rPr>
        <w:t>n</w:t>
      </w:r>
      <w:r w:rsidRPr="00D254A5">
        <w:rPr>
          <w:rFonts w:ascii="Arial" w:eastAsia="Times New Roman" w:hAnsi="Arial" w:cs="Arial"/>
          <w:color w:val="000000"/>
          <w:u w:val="single"/>
        </w:rPr>
        <w:t xml:space="preserve"> WMS employee appointed to a position for reasons specified in </w:t>
      </w:r>
      <w:r w:rsidRPr="00D254A5">
        <w:rPr>
          <w:rFonts w:ascii="Arial" w:hAnsi="Arial" w:cs="Arial"/>
          <w:u w:val="single"/>
        </w:rPr>
        <w:t>WAC 357-58-265(2) must be determined as follows:</w:t>
      </w:r>
    </w:p>
    <w:p w14:paraId="3F431640" w14:textId="77777777" w:rsidR="008C2369" w:rsidRPr="00D254A5" w:rsidRDefault="008C2369" w:rsidP="008C2369">
      <w:pPr>
        <w:pStyle w:val="ListParagraph"/>
        <w:numPr>
          <w:ilvl w:val="0"/>
          <w:numId w:val="12"/>
        </w:numPr>
        <w:rPr>
          <w:rFonts w:ascii="Arial" w:eastAsia="Times New Roman" w:hAnsi="Arial" w:cs="Arial"/>
          <w:color w:val="000000"/>
          <w:u w:val="single"/>
        </w:rPr>
      </w:pPr>
      <w:r w:rsidRPr="00D254A5">
        <w:rPr>
          <w:rFonts w:ascii="Arial" w:eastAsia="Times New Roman" w:hAnsi="Arial" w:cs="Arial"/>
          <w:color w:val="000000"/>
          <w:u w:val="single"/>
        </w:rPr>
        <w:t>A</w:t>
      </w:r>
      <w:r w:rsidRPr="00D254A5">
        <w:rPr>
          <w:rFonts w:ascii="Arial" w:eastAsia="Times New Roman" w:hAnsi="Arial" w:cs="Arial"/>
          <w:strike/>
          <w:color w:val="000000"/>
          <w:highlight w:val="yellow"/>
          <w:u w:val="single"/>
        </w:rPr>
        <w:t>n</w:t>
      </w:r>
      <w:r w:rsidRPr="00D254A5">
        <w:rPr>
          <w:rFonts w:ascii="Arial" w:eastAsia="Times New Roman" w:hAnsi="Arial" w:cs="Arial"/>
          <w:color w:val="000000"/>
          <w:u w:val="single"/>
        </w:rPr>
        <w:t xml:space="preserve"> WMS employee who is redeployed to a position with the same salary standard keeps the same base salary.</w:t>
      </w:r>
    </w:p>
    <w:p w14:paraId="0BB96CC5" w14:textId="77777777" w:rsidR="008C2369" w:rsidRPr="00D254A5" w:rsidRDefault="008C2369" w:rsidP="008C2369">
      <w:pPr>
        <w:pStyle w:val="ListParagraph"/>
        <w:numPr>
          <w:ilvl w:val="0"/>
          <w:numId w:val="12"/>
        </w:numPr>
        <w:rPr>
          <w:rFonts w:ascii="Arial" w:eastAsia="Times New Roman" w:hAnsi="Arial" w:cs="Arial"/>
          <w:color w:val="000000"/>
          <w:u w:val="single"/>
        </w:rPr>
      </w:pPr>
      <w:r w:rsidRPr="00D254A5">
        <w:rPr>
          <w:rFonts w:ascii="Arial" w:eastAsia="Times New Roman" w:hAnsi="Arial" w:cs="Arial"/>
          <w:color w:val="000000"/>
          <w:u w:val="single"/>
        </w:rPr>
        <w:t>A</w:t>
      </w:r>
      <w:r w:rsidRPr="00D254A5">
        <w:rPr>
          <w:rFonts w:ascii="Arial" w:eastAsia="Times New Roman" w:hAnsi="Arial" w:cs="Arial"/>
          <w:strike/>
          <w:color w:val="000000"/>
          <w:highlight w:val="yellow"/>
          <w:u w:val="single"/>
        </w:rPr>
        <w:t>n</w:t>
      </w:r>
      <w:r w:rsidRPr="00D254A5">
        <w:rPr>
          <w:rFonts w:ascii="Arial" w:eastAsia="Times New Roman" w:hAnsi="Arial" w:cs="Arial"/>
          <w:color w:val="000000"/>
          <w:u w:val="single"/>
        </w:rPr>
        <w:t xml:space="preserve"> WMS employee who is redeployed to a position with a lower salary standard maximum must be placed within the new salary standard at a salary equal to the employee’s previous base salary. If the previous base salary exceeds the new salary standard, the employee’s base salary may be set higher than associated salary standard but not exceeding their prior base salary. </w:t>
      </w:r>
    </w:p>
    <w:p w14:paraId="4C2708F9" w14:textId="1E98259D" w:rsidR="00FE6771" w:rsidRPr="00570A36" w:rsidRDefault="008C2369" w:rsidP="008C2369">
      <w:pPr>
        <w:pStyle w:val="ListParagraph"/>
        <w:numPr>
          <w:ilvl w:val="0"/>
          <w:numId w:val="12"/>
        </w:numPr>
        <w:rPr>
          <w:rFonts w:ascii="Arial" w:eastAsia="Times New Roman" w:hAnsi="Arial" w:cs="Arial"/>
          <w:color w:val="000000"/>
          <w:u w:val="single"/>
        </w:rPr>
      </w:pPr>
      <w:r w:rsidRPr="00D254A5">
        <w:rPr>
          <w:rFonts w:ascii="Arial" w:eastAsia="Times New Roman" w:hAnsi="Arial" w:cs="Arial"/>
          <w:color w:val="000000"/>
          <w:u w:val="single"/>
        </w:rPr>
        <w:t>A</w:t>
      </w:r>
      <w:r w:rsidRPr="00D254A5">
        <w:rPr>
          <w:rFonts w:ascii="Arial" w:eastAsia="Times New Roman" w:hAnsi="Arial" w:cs="Arial"/>
          <w:strike/>
          <w:color w:val="000000"/>
          <w:highlight w:val="yellow"/>
          <w:u w:val="single"/>
        </w:rPr>
        <w:t>n</w:t>
      </w:r>
      <w:r w:rsidRPr="00D254A5">
        <w:rPr>
          <w:rFonts w:ascii="Arial" w:eastAsia="Times New Roman" w:hAnsi="Arial" w:cs="Arial"/>
          <w:color w:val="000000"/>
          <w:u w:val="single"/>
        </w:rPr>
        <w:t xml:space="preserve"> WMS employee who is redeployed to a position with a higher salary standard must receive a salary increase nearest to five percent or up to the minimum of the new salary standard, whichever is greatest, not to exceed the new management band maximum.</w:t>
      </w:r>
      <w:bookmarkEnd w:id="25"/>
    </w:p>
    <w:p w14:paraId="03DB2B1C" w14:textId="77777777" w:rsidR="00FE6771" w:rsidRDefault="00FE6771" w:rsidP="008C2369">
      <w:pPr>
        <w:rPr>
          <w:rFonts w:ascii="Arial" w:hAnsi="Arial" w:cs="Arial"/>
          <w:b/>
          <w:bCs/>
          <w:u w:val="single"/>
        </w:rPr>
      </w:pPr>
    </w:p>
    <w:p w14:paraId="6C12EE52" w14:textId="10901DFD" w:rsidR="008C2369" w:rsidRPr="00C61356" w:rsidRDefault="008C2369" w:rsidP="008C2369">
      <w:pPr>
        <w:rPr>
          <w:rFonts w:ascii="Arial" w:hAnsi="Arial" w:cs="Arial"/>
          <w:b/>
          <w:bCs/>
          <w:u w:val="single"/>
        </w:rPr>
      </w:pPr>
      <w:r w:rsidRPr="00C61356">
        <w:rPr>
          <w:rFonts w:ascii="Arial" w:hAnsi="Arial" w:cs="Arial"/>
          <w:b/>
          <w:bCs/>
          <w:u w:val="single"/>
        </w:rPr>
        <w:t>AMENDATORY SECTION</w:t>
      </w:r>
    </w:p>
    <w:p w14:paraId="2D4DA8C4" w14:textId="77777777" w:rsidR="008C2369" w:rsidRPr="00C61356" w:rsidRDefault="008C2369" w:rsidP="008C2369">
      <w:pPr>
        <w:pStyle w:val="Heading3"/>
        <w:rPr>
          <w:rFonts w:eastAsia="Calibri" w:cs="Arial"/>
          <w:szCs w:val="22"/>
        </w:rPr>
      </w:pPr>
      <w:r w:rsidRPr="00C61356">
        <w:rPr>
          <w:rFonts w:eastAsia="Calibri" w:cs="Arial"/>
          <w:szCs w:val="22"/>
        </w:rPr>
        <w:t xml:space="preserve">WAC 357-58-225  What return rights must an employer provide to a </w:t>
      </w:r>
      <w:r w:rsidRPr="00C61356">
        <w:rPr>
          <w:rFonts w:eastAsia="Calibri" w:cs="Arial"/>
          <w:strike/>
          <w:szCs w:val="22"/>
        </w:rPr>
        <w:t xml:space="preserve">permanent </w:t>
      </w:r>
      <w:r w:rsidRPr="00C61356">
        <w:rPr>
          <w:rFonts w:eastAsia="Calibri" w:cs="Arial"/>
          <w:szCs w:val="22"/>
        </w:rPr>
        <w:t>WMS employee who accepts a nonpermanent appointment to a WGS position?</w:t>
      </w:r>
    </w:p>
    <w:p w14:paraId="17502D1D" w14:textId="77777777" w:rsidR="008C2369" w:rsidRPr="00C61356" w:rsidRDefault="008C2369" w:rsidP="008C2369">
      <w:pPr>
        <w:rPr>
          <w:rFonts w:ascii="Arial" w:eastAsia="Calibri" w:hAnsi="Arial" w:cs="Arial"/>
          <w:u w:val="single"/>
        </w:rPr>
      </w:pPr>
      <w:r w:rsidRPr="00C61356">
        <w:rPr>
          <w:rFonts w:ascii="Arial" w:eastAsia="Calibri" w:hAnsi="Arial" w:cs="Arial"/>
          <w:u w:val="single"/>
        </w:rPr>
        <w:lastRenderedPageBreak/>
        <w:t xml:space="preserve">(1) Nonpermanent appointments for reasons </w:t>
      </w:r>
      <w:r w:rsidRPr="00B2786B">
        <w:rPr>
          <w:rFonts w:ascii="Arial" w:eastAsia="Calibri" w:hAnsi="Arial" w:cs="Arial"/>
          <w:u w:val="single"/>
        </w:rPr>
        <w:t>specified in WAC </w:t>
      </w:r>
      <w:hyperlink r:id="rId41" w:history="1">
        <w:r w:rsidRPr="00B2786B">
          <w:rPr>
            <w:rFonts w:ascii="Arial" w:eastAsia="Calibri" w:hAnsi="Arial" w:cs="Arial"/>
            <w:color w:val="0000FF"/>
            <w:u w:val="single"/>
          </w:rPr>
          <w:t>357-19-360</w:t>
        </w:r>
      </w:hyperlink>
      <w:r w:rsidRPr="00B2786B">
        <w:rPr>
          <w:rFonts w:ascii="Arial" w:eastAsia="Calibri" w:hAnsi="Arial" w:cs="Arial"/>
          <w:u w:val="single"/>
        </w:rPr>
        <w:t> (1) the</w:t>
      </w:r>
      <w:r w:rsidRPr="00C61356">
        <w:rPr>
          <w:rFonts w:ascii="Arial" w:eastAsia="Calibri" w:hAnsi="Arial" w:cs="Arial"/>
          <w:u w:val="single"/>
        </w:rPr>
        <w:t xml:space="preserve"> following applies:</w:t>
      </w:r>
    </w:p>
    <w:p w14:paraId="79DF7711" w14:textId="77777777" w:rsidR="008C2369" w:rsidRPr="00C61356" w:rsidRDefault="008C2369" w:rsidP="008C2369">
      <w:pPr>
        <w:rPr>
          <w:rFonts w:ascii="Arial" w:eastAsia="Calibri" w:hAnsi="Arial" w:cs="Arial"/>
        </w:rPr>
      </w:pPr>
      <w:r w:rsidRPr="00C61356">
        <w:rPr>
          <w:rFonts w:ascii="Arial" w:eastAsia="Calibri" w:hAnsi="Arial" w:cs="Arial"/>
        </w:rPr>
        <w:t>(</w:t>
      </w:r>
      <w:r w:rsidRPr="00C61356">
        <w:rPr>
          <w:rFonts w:ascii="Arial" w:eastAsia="Calibri" w:hAnsi="Arial" w:cs="Arial"/>
          <w:u w:val="single"/>
        </w:rPr>
        <w:t>a</w:t>
      </w:r>
      <w:r w:rsidRPr="00C61356">
        <w:rPr>
          <w:rFonts w:ascii="Arial" w:eastAsia="Calibri" w:hAnsi="Arial" w:cs="Arial"/>
        </w:rPr>
        <w:t>)</w:t>
      </w:r>
      <w:r w:rsidRPr="00C61356">
        <w:rPr>
          <w:rFonts w:ascii="Arial" w:eastAsia="Calibri" w:hAnsi="Arial" w:cs="Arial"/>
          <w:strike/>
        </w:rPr>
        <w:t xml:space="preserve"> (1) </w:t>
      </w:r>
      <w:r w:rsidRPr="00C61356">
        <w:rPr>
          <w:rFonts w:ascii="Arial" w:eastAsia="Calibri" w:hAnsi="Arial" w:cs="Arial"/>
        </w:rPr>
        <w:t>When a permanent WMS employee has accepted a nonpermanent appointment to a WGS position within the same agency and the nonpermanent appointment ends, the agency must at a minimum provide the employee the layoff rights of the employee’s permanent WMS position. If returning to a permanent WMS position the employee’s salary must not be less than the salary of the previously held permanent WMS position.</w:t>
      </w:r>
    </w:p>
    <w:p w14:paraId="0CE7B699" w14:textId="77777777" w:rsidR="008C2369" w:rsidRPr="00322949" w:rsidRDefault="008C2369" w:rsidP="008C2369">
      <w:pPr>
        <w:rPr>
          <w:rFonts w:ascii="Arial" w:eastAsia="Calibri" w:hAnsi="Arial" w:cs="Arial"/>
        </w:rPr>
      </w:pPr>
      <w:r w:rsidRPr="00C61356">
        <w:rPr>
          <w:rFonts w:ascii="Arial" w:eastAsia="Calibri" w:hAnsi="Arial" w:cs="Arial"/>
        </w:rPr>
        <w:t>(</w:t>
      </w:r>
      <w:r w:rsidRPr="00C61356">
        <w:rPr>
          <w:rFonts w:ascii="Arial" w:eastAsia="Calibri" w:hAnsi="Arial" w:cs="Arial"/>
          <w:u w:val="single"/>
        </w:rPr>
        <w:t>b</w:t>
      </w:r>
      <w:r w:rsidRPr="00C61356">
        <w:rPr>
          <w:rFonts w:ascii="Arial" w:eastAsia="Calibri" w:hAnsi="Arial" w:cs="Arial"/>
        </w:rPr>
        <w:t xml:space="preserve">) </w:t>
      </w:r>
      <w:r w:rsidRPr="00C61356">
        <w:rPr>
          <w:rFonts w:ascii="Arial" w:eastAsia="Calibri" w:hAnsi="Arial" w:cs="Arial"/>
          <w:strike/>
        </w:rPr>
        <w:t>(2)</w:t>
      </w:r>
      <w:r w:rsidRPr="00C61356">
        <w:rPr>
          <w:rFonts w:ascii="Arial" w:eastAsia="Calibri" w:hAnsi="Arial" w:cs="Arial"/>
        </w:rPr>
        <w:t xml:space="preserve"> When a permanent WMS employee has accepted a nonpermanent appointment to a WGS position within a different agency, the original agency must provide layoff rights as specified in subsection (</w:t>
      </w:r>
      <w:r w:rsidRPr="00C61356">
        <w:rPr>
          <w:rFonts w:ascii="Arial" w:eastAsia="Calibri" w:hAnsi="Arial" w:cs="Arial"/>
          <w:u w:val="single"/>
        </w:rPr>
        <w:t>a</w:t>
      </w:r>
      <w:r w:rsidRPr="00C61356">
        <w:rPr>
          <w:rFonts w:ascii="Arial" w:eastAsia="Calibri" w:hAnsi="Arial" w:cs="Arial"/>
        </w:rPr>
        <w:t xml:space="preserve">) </w:t>
      </w:r>
      <w:r w:rsidRPr="00C61356">
        <w:rPr>
          <w:rFonts w:ascii="Arial" w:eastAsia="Calibri" w:hAnsi="Arial" w:cs="Arial"/>
          <w:strike/>
        </w:rPr>
        <w:t>(1)</w:t>
      </w:r>
      <w:r w:rsidRPr="00C61356">
        <w:rPr>
          <w:rFonts w:ascii="Arial" w:eastAsia="Calibri" w:hAnsi="Arial" w:cs="Arial"/>
        </w:rPr>
        <w:t xml:space="preserve"> of this section for six months from the time the employee is appointed. Any return right after six months is negotiable between the employee and agency and must be agreed to prior to the </w:t>
      </w:r>
      <w:r w:rsidRPr="00322949">
        <w:rPr>
          <w:rFonts w:ascii="Arial" w:eastAsia="Calibri" w:hAnsi="Arial" w:cs="Arial"/>
        </w:rPr>
        <w:t>employee accepting the nonpermanent appointment. If the employee does not return on the agreed upon date, the employee can request placement in the general government transition pool per WAC 357-46-095.</w:t>
      </w:r>
    </w:p>
    <w:p w14:paraId="3054C2F5" w14:textId="77777777" w:rsidR="008C2369" w:rsidRPr="00322949" w:rsidRDefault="008C2369" w:rsidP="008C2369">
      <w:pPr>
        <w:rPr>
          <w:rFonts w:ascii="Arial" w:eastAsia="Calibri" w:hAnsi="Arial" w:cs="Arial"/>
        </w:rPr>
      </w:pPr>
      <w:r w:rsidRPr="00322949">
        <w:rPr>
          <w:rFonts w:ascii="Arial" w:eastAsia="Calibri" w:hAnsi="Arial" w:cs="Arial"/>
        </w:rPr>
        <w:t>(</w:t>
      </w:r>
      <w:r w:rsidRPr="00322949">
        <w:rPr>
          <w:rFonts w:ascii="Arial" w:eastAsia="Calibri" w:hAnsi="Arial" w:cs="Arial"/>
          <w:u w:val="single"/>
        </w:rPr>
        <w:t>c</w:t>
      </w:r>
      <w:r w:rsidRPr="00322949">
        <w:rPr>
          <w:rFonts w:ascii="Arial" w:eastAsia="Calibri" w:hAnsi="Arial" w:cs="Arial"/>
        </w:rPr>
        <w:t xml:space="preserve">) </w:t>
      </w:r>
      <w:r w:rsidRPr="00322949">
        <w:rPr>
          <w:rFonts w:ascii="Arial" w:eastAsia="Calibri" w:hAnsi="Arial" w:cs="Arial"/>
          <w:strike/>
        </w:rPr>
        <w:t>(3)</w:t>
      </w:r>
      <w:r w:rsidRPr="00322949">
        <w:rPr>
          <w:rFonts w:ascii="Arial" w:eastAsia="Calibri" w:hAnsi="Arial" w:cs="Arial"/>
        </w:rPr>
        <w:t xml:space="preserve"> In lieu of the rights provided in subsection (a) </w:t>
      </w:r>
      <w:r w:rsidRPr="00322949">
        <w:rPr>
          <w:rFonts w:ascii="Arial" w:eastAsia="Calibri" w:hAnsi="Arial" w:cs="Arial"/>
          <w:strike/>
        </w:rPr>
        <w:t>(1)</w:t>
      </w:r>
      <w:r w:rsidRPr="00322949">
        <w:rPr>
          <w:rFonts w:ascii="Arial" w:eastAsia="Calibri" w:hAnsi="Arial" w:cs="Arial"/>
        </w:rPr>
        <w:t xml:space="preserve"> or (b)</w:t>
      </w:r>
      <w:r w:rsidRPr="00322949">
        <w:rPr>
          <w:rFonts w:ascii="Arial" w:eastAsia="Calibri" w:hAnsi="Arial" w:cs="Arial"/>
          <w:strike/>
        </w:rPr>
        <w:t xml:space="preserve">(2) </w:t>
      </w:r>
      <w:r w:rsidRPr="00322949">
        <w:rPr>
          <w:rFonts w:ascii="Arial" w:eastAsia="Calibri" w:hAnsi="Arial" w:cs="Arial"/>
        </w:rPr>
        <w:t>of this section, the agency and the employee may agree to other terms.</w:t>
      </w:r>
    </w:p>
    <w:p w14:paraId="3EC7ED66" w14:textId="77777777" w:rsidR="008C2369" w:rsidRPr="00322949" w:rsidRDefault="008C2369" w:rsidP="008C2369">
      <w:pPr>
        <w:rPr>
          <w:rFonts w:ascii="Arial" w:eastAsia="Calibri" w:hAnsi="Arial" w:cs="Arial"/>
          <w:b/>
          <w:bCs/>
        </w:rPr>
      </w:pPr>
      <w:r w:rsidRPr="00322949">
        <w:rPr>
          <w:rFonts w:ascii="Arial" w:eastAsia="Calibri" w:hAnsi="Arial" w:cs="Arial"/>
          <w:u w:val="single"/>
        </w:rPr>
        <w:t>(2) For nonpermanent appointments made for reasons listed in WAC 357-19-360 (2) the employee must be returned to the same position held prior to the redeployment at the conclusion of the nonpermanent appointment. Upon return to their previous position, the employee's base salary is set as if the employee had not left the position.</w:t>
      </w:r>
    </w:p>
    <w:p w14:paraId="16EB24F8" w14:textId="77777777" w:rsidR="008C2369" w:rsidRDefault="008C2369" w:rsidP="008C2369">
      <w:pPr>
        <w:spacing w:after="0" w:line="240" w:lineRule="auto"/>
        <w:rPr>
          <w:rFonts w:ascii="Arial" w:eastAsia="Times New Roman" w:hAnsi="Arial" w:cs="Arial"/>
        </w:rPr>
      </w:pPr>
    </w:p>
    <w:p w14:paraId="55F5F970" w14:textId="77777777" w:rsidR="008C2369" w:rsidRPr="00F63761" w:rsidRDefault="008C2369" w:rsidP="008C2369">
      <w:pPr>
        <w:rPr>
          <w:rFonts w:ascii="Arial" w:hAnsi="Arial" w:cs="Arial"/>
          <w:b/>
          <w:bCs/>
          <w:highlight w:val="yellow"/>
          <w:u w:val="single"/>
        </w:rPr>
      </w:pPr>
      <w:bookmarkStart w:id="26" w:name="_Hlk146180060"/>
      <w:r w:rsidRPr="00F63761">
        <w:rPr>
          <w:rFonts w:ascii="Arial" w:hAnsi="Arial" w:cs="Arial"/>
          <w:b/>
          <w:bCs/>
          <w:highlight w:val="yellow"/>
          <w:u w:val="single"/>
        </w:rPr>
        <w:t>AMENDATORY SECTION</w:t>
      </w:r>
    </w:p>
    <w:p w14:paraId="586F1221" w14:textId="77777777" w:rsidR="008C2369" w:rsidRPr="00F63761" w:rsidRDefault="008C2369" w:rsidP="008C2369">
      <w:pPr>
        <w:pStyle w:val="Heading3"/>
        <w:rPr>
          <w:highlight w:val="yellow"/>
        </w:rPr>
      </w:pPr>
      <w:r w:rsidRPr="00F63761">
        <w:rPr>
          <w:highlight w:val="yellow"/>
        </w:rPr>
        <w:t xml:space="preserve">WAC 357-58-226 What happens when a WMS employee who </w:t>
      </w:r>
      <w:r w:rsidRPr="005E15AA">
        <w:rPr>
          <w:highlight w:val="yellow"/>
        </w:rPr>
        <w:t>was</w:t>
      </w:r>
      <w:r w:rsidRPr="00F63761">
        <w:rPr>
          <w:highlight w:val="yellow"/>
        </w:rPr>
        <w:t xml:space="preserve"> serving a review period </w:t>
      </w:r>
      <w:r w:rsidRPr="00DC1910">
        <w:rPr>
          <w:strike/>
          <w:highlight w:val="yellow"/>
        </w:rPr>
        <w:t xml:space="preserve">and </w:t>
      </w:r>
      <w:proofErr w:type="gramStart"/>
      <w:r w:rsidRPr="00DC1910">
        <w:rPr>
          <w:strike/>
          <w:highlight w:val="yellow"/>
        </w:rPr>
        <w:t>was</w:t>
      </w:r>
      <w:r w:rsidRPr="00F63761">
        <w:rPr>
          <w:highlight w:val="yellow"/>
        </w:rPr>
        <w:t xml:space="preserve"> </w:t>
      </w:r>
      <w:r>
        <w:rPr>
          <w:highlight w:val="yellow"/>
          <w:u w:val="single"/>
        </w:rPr>
        <w:t>is</w:t>
      </w:r>
      <w:proofErr w:type="gramEnd"/>
      <w:r>
        <w:rPr>
          <w:highlight w:val="yellow"/>
          <w:u w:val="single"/>
        </w:rPr>
        <w:t xml:space="preserve"> </w:t>
      </w:r>
      <w:r w:rsidRPr="00F63761">
        <w:rPr>
          <w:highlight w:val="yellow"/>
        </w:rPr>
        <w:t xml:space="preserve">appointed to a WGS nonpermanent position returns to </w:t>
      </w:r>
      <w:r w:rsidRPr="00AE518C">
        <w:rPr>
          <w:strike/>
          <w:highlight w:val="yellow"/>
        </w:rPr>
        <w:t>the same or different</w:t>
      </w:r>
      <w:r w:rsidRPr="00F63761">
        <w:rPr>
          <w:highlight w:val="yellow"/>
        </w:rPr>
        <w:t xml:space="preserve"> </w:t>
      </w:r>
      <w:r w:rsidRPr="00AE518C">
        <w:rPr>
          <w:highlight w:val="yellow"/>
          <w:u w:val="single"/>
        </w:rPr>
        <w:t xml:space="preserve">a </w:t>
      </w:r>
      <w:r w:rsidRPr="00F63761">
        <w:rPr>
          <w:highlight w:val="yellow"/>
        </w:rPr>
        <w:t>WMS position?</w:t>
      </w:r>
    </w:p>
    <w:p w14:paraId="38177107" w14:textId="77777777" w:rsidR="008C2369" w:rsidRDefault="008C2369" w:rsidP="008C2369">
      <w:pPr>
        <w:pStyle w:val="ListParagraph"/>
        <w:numPr>
          <w:ilvl w:val="0"/>
          <w:numId w:val="17"/>
        </w:numPr>
        <w:spacing w:after="0" w:line="240" w:lineRule="auto"/>
        <w:rPr>
          <w:rFonts w:ascii="Arial" w:eastAsia="Times New Roman" w:hAnsi="Arial" w:cs="Arial"/>
        </w:rPr>
      </w:pPr>
      <w:r w:rsidRPr="00F63761">
        <w:rPr>
          <w:rFonts w:ascii="Arial" w:eastAsia="Times New Roman" w:hAnsi="Arial" w:cs="Arial"/>
          <w:highlight w:val="yellow"/>
        </w:rPr>
        <w:t xml:space="preserve">If a WMS employee </w:t>
      </w:r>
      <w:r w:rsidRPr="00D94FC6">
        <w:rPr>
          <w:rFonts w:ascii="Arial" w:eastAsia="Times New Roman" w:hAnsi="Arial" w:cs="Arial"/>
          <w:strike/>
          <w:highlight w:val="yellow"/>
        </w:rPr>
        <w:t xml:space="preserve">was </w:t>
      </w:r>
      <w:r>
        <w:rPr>
          <w:rFonts w:ascii="Arial" w:eastAsia="Times New Roman" w:hAnsi="Arial" w:cs="Arial"/>
          <w:highlight w:val="yellow"/>
          <w:u w:val="single"/>
        </w:rPr>
        <w:t xml:space="preserve">who is </w:t>
      </w:r>
      <w:r w:rsidRPr="00F63761">
        <w:rPr>
          <w:rFonts w:ascii="Arial" w:eastAsia="Times New Roman" w:hAnsi="Arial" w:cs="Arial"/>
          <w:highlight w:val="yellow"/>
        </w:rPr>
        <w:t xml:space="preserve">serving a review period </w:t>
      </w:r>
      <w:r w:rsidRPr="00D94FC6">
        <w:rPr>
          <w:rFonts w:ascii="Arial" w:eastAsia="Times New Roman" w:hAnsi="Arial" w:cs="Arial"/>
          <w:strike/>
          <w:highlight w:val="yellow"/>
        </w:rPr>
        <w:t>and accepted</w:t>
      </w:r>
      <w:r w:rsidRPr="00F63761">
        <w:rPr>
          <w:rFonts w:ascii="Arial" w:eastAsia="Times New Roman" w:hAnsi="Arial" w:cs="Arial"/>
          <w:highlight w:val="yellow"/>
        </w:rPr>
        <w:t xml:space="preserve"> </w:t>
      </w:r>
      <w:r>
        <w:rPr>
          <w:rFonts w:ascii="Arial" w:eastAsia="Times New Roman" w:hAnsi="Arial" w:cs="Arial"/>
          <w:highlight w:val="yellow"/>
          <w:u w:val="single"/>
        </w:rPr>
        <w:t xml:space="preserve">accepts </w:t>
      </w:r>
      <w:r w:rsidRPr="00F63761">
        <w:rPr>
          <w:rFonts w:ascii="Arial" w:eastAsia="Times New Roman" w:hAnsi="Arial" w:cs="Arial"/>
          <w:highlight w:val="yellow"/>
        </w:rPr>
        <w:t xml:space="preserve">a nonpermanent appointment </w:t>
      </w:r>
      <w:r>
        <w:rPr>
          <w:rFonts w:ascii="Arial" w:eastAsia="Times New Roman" w:hAnsi="Arial" w:cs="Arial"/>
          <w:highlight w:val="yellow"/>
          <w:u w:val="single"/>
        </w:rPr>
        <w:t xml:space="preserve">for reasons specified in </w:t>
      </w:r>
      <w:r w:rsidRPr="00F63761">
        <w:rPr>
          <w:rFonts w:ascii="Arial" w:eastAsia="Calibri" w:hAnsi="Arial" w:cs="Arial"/>
          <w:highlight w:val="yellow"/>
          <w:u w:val="single"/>
        </w:rPr>
        <w:t>WAC 357-</w:t>
      </w:r>
      <w:r>
        <w:rPr>
          <w:rFonts w:ascii="Arial" w:eastAsia="Calibri" w:hAnsi="Arial" w:cs="Arial"/>
          <w:highlight w:val="yellow"/>
          <w:u w:val="single"/>
        </w:rPr>
        <w:t>19-360</w:t>
      </w:r>
      <w:r w:rsidRPr="00F63761">
        <w:rPr>
          <w:rFonts w:ascii="Arial" w:eastAsia="Calibri" w:hAnsi="Arial" w:cs="Arial"/>
          <w:highlight w:val="yellow"/>
          <w:u w:val="single"/>
        </w:rPr>
        <w:t xml:space="preserve">(1) </w:t>
      </w:r>
      <w:r w:rsidRPr="00F63761">
        <w:rPr>
          <w:rFonts w:ascii="Arial" w:eastAsia="Times New Roman" w:hAnsi="Arial" w:cs="Arial"/>
          <w:highlight w:val="yellow"/>
        </w:rPr>
        <w:t>to a WGS position and</w:t>
      </w:r>
      <w:r w:rsidRPr="00AE518C">
        <w:rPr>
          <w:rFonts w:ascii="Arial" w:eastAsia="Times New Roman" w:hAnsi="Arial" w:cs="Arial"/>
          <w:strike/>
          <w:highlight w:val="yellow"/>
        </w:rPr>
        <w:t xml:space="preserve"> returned</w:t>
      </w:r>
      <w:r>
        <w:rPr>
          <w:rFonts w:ascii="Arial" w:eastAsia="Times New Roman" w:hAnsi="Arial" w:cs="Arial"/>
          <w:highlight w:val="yellow"/>
        </w:rPr>
        <w:t xml:space="preserve"> </w:t>
      </w:r>
      <w:r>
        <w:rPr>
          <w:rFonts w:ascii="Arial" w:eastAsia="Times New Roman" w:hAnsi="Arial" w:cs="Arial"/>
          <w:highlight w:val="yellow"/>
          <w:u w:val="single"/>
        </w:rPr>
        <w:t>returns</w:t>
      </w:r>
      <w:r w:rsidRPr="00F63761">
        <w:rPr>
          <w:rFonts w:ascii="Arial" w:eastAsia="Times New Roman" w:hAnsi="Arial" w:cs="Arial"/>
          <w:highlight w:val="yellow"/>
        </w:rPr>
        <w:t xml:space="preserve"> to the same or different WMS position, the employer may</w:t>
      </w:r>
      <w:r>
        <w:rPr>
          <w:rFonts w:ascii="Arial" w:eastAsia="Times New Roman" w:hAnsi="Arial" w:cs="Arial"/>
          <w:highlight w:val="yellow"/>
        </w:rPr>
        <w:t xml:space="preserve"> </w:t>
      </w:r>
      <w:r w:rsidRPr="00F63761">
        <w:rPr>
          <w:rFonts w:ascii="Arial" w:eastAsia="Times New Roman" w:hAnsi="Arial" w:cs="Arial"/>
          <w:highlight w:val="yellow"/>
        </w:rPr>
        <w:t>allow the prior time served in the WMS review period to count towards the completion of the review period.</w:t>
      </w:r>
    </w:p>
    <w:p w14:paraId="7657E8BD" w14:textId="1B3C2F42" w:rsidR="008C2369" w:rsidRPr="00AE518C" w:rsidRDefault="008C2369" w:rsidP="008C2369">
      <w:pPr>
        <w:pStyle w:val="ListParagraph"/>
        <w:numPr>
          <w:ilvl w:val="0"/>
          <w:numId w:val="17"/>
        </w:numPr>
        <w:spacing w:after="0" w:line="240" w:lineRule="auto"/>
        <w:rPr>
          <w:rFonts w:ascii="Arial" w:eastAsia="Times New Roman" w:hAnsi="Arial" w:cs="Arial"/>
          <w:highlight w:val="yellow"/>
        </w:rPr>
      </w:pPr>
      <w:r w:rsidRPr="00AE518C">
        <w:rPr>
          <w:rFonts w:ascii="Arial" w:eastAsia="Times New Roman" w:hAnsi="Arial" w:cs="Arial"/>
          <w:highlight w:val="yellow"/>
          <w:u w:val="single"/>
        </w:rPr>
        <w:t>If a WMS employee w</w:t>
      </w:r>
      <w:r>
        <w:rPr>
          <w:rFonts w:ascii="Arial" w:eastAsia="Times New Roman" w:hAnsi="Arial" w:cs="Arial"/>
          <w:highlight w:val="yellow"/>
          <w:u w:val="single"/>
        </w:rPr>
        <w:t xml:space="preserve">ho is </w:t>
      </w:r>
      <w:r w:rsidRPr="00AE518C">
        <w:rPr>
          <w:rFonts w:ascii="Arial" w:eastAsia="Times New Roman" w:hAnsi="Arial" w:cs="Arial"/>
          <w:highlight w:val="yellow"/>
          <w:u w:val="single"/>
        </w:rPr>
        <w:t xml:space="preserve">serving a review period is redeployed into a </w:t>
      </w:r>
      <w:r>
        <w:rPr>
          <w:rFonts w:ascii="Arial" w:eastAsia="Times New Roman" w:hAnsi="Arial" w:cs="Arial"/>
          <w:highlight w:val="yellow"/>
          <w:u w:val="single"/>
        </w:rPr>
        <w:t xml:space="preserve">WGS </w:t>
      </w:r>
      <w:r w:rsidRPr="00AE518C">
        <w:rPr>
          <w:rFonts w:ascii="Arial" w:eastAsia="Times New Roman" w:hAnsi="Arial" w:cs="Arial"/>
          <w:highlight w:val="yellow"/>
          <w:u w:val="single"/>
        </w:rPr>
        <w:t xml:space="preserve">nonpermanent appointment </w:t>
      </w:r>
      <w:r w:rsidR="007D36F2">
        <w:rPr>
          <w:rFonts w:ascii="Arial" w:eastAsia="Times New Roman" w:hAnsi="Arial" w:cs="Arial"/>
          <w:highlight w:val="yellow"/>
          <w:u w:val="single"/>
        </w:rPr>
        <w:t xml:space="preserve">in accordance with </w:t>
      </w:r>
      <w:r w:rsidRPr="00AE518C">
        <w:rPr>
          <w:rFonts w:ascii="Arial" w:eastAsia="Times New Roman" w:hAnsi="Arial" w:cs="Arial"/>
          <w:highlight w:val="yellow"/>
          <w:u w:val="single"/>
        </w:rPr>
        <w:t>WAC 357-</w:t>
      </w:r>
      <w:r>
        <w:rPr>
          <w:rFonts w:ascii="Arial" w:eastAsia="Times New Roman" w:hAnsi="Arial" w:cs="Arial"/>
          <w:highlight w:val="yellow"/>
          <w:u w:val="single"/>
        </w:rPr>
        <w:t>19-360</w:t>
      </w:r>
      <w:r w:rsidRPr="00AE518C">
        <w:rPr>
          <w:rFonts w:ascii="Arial" w:eastAsia="Times New Roman" w:hAnsi="Arial" w:cs="Arial"/>
          <w:highlight w:val="yellow"/>
          <w:u w:val="single"/>
        </w:rPr>
        <w:t>(2)</w:t>
      </w:r>
      <w:r>
        <w:rPr>
          <w:rFonts w:ascii="Arial" w:eastAsia="Times New Roman" w:hAnsi="Arial" w:cs="Arial"/>
          <w:highlight w:val="yellow"/>
          <w:u w:val="single"/>
        </w:rPr>
        <w:t xml:space="preserve"> the employer must return the employee to the same position held prior to the redeployment at the conclusion of the redeployment</w:t>
      </w:r>
      <w:r w:rsidR="00113F07">
        <w:rPr>
          <w:rFonts w:ascii="Arial" w:eastAsia="Times New Roman" w:hAnsi="Arial" w:cs="Arial"/>
          <w:highlight w:val="yellow"/>
          <w:u w:val="single"/>
        </w:rPr>
        <w:t>. T</w:t>
      </w:r>
      <w:r>
        <w:rPr>
          <w:rFonts w:ascii="Arial" w:eastAsia="Times New Roman" w:hAnsi="Arial" w:cs="Arial"/>
          <w:highlight w:val="yellow"/>
          <w:u w:val="single"/>
        </w:rPr>
        <w:t>he employer must count time worked in the nonpermanent appointment towards the completion of the review period for the permanent position.</w:t>
      </w:r>
      <w:r w:rsidRPr="00AE518C">
        <w:rPr>
          <w:rFonts w:ascii="Arial" w:eastAsia="Times New Roman" w:hAnsi="Arial" w:cs="Arial"/>
          <w:highlight w:val="yellow"/>
          <w:u w:val="single"/>
        </w:rPr>
        <w:t xml:space="preserve"> </w:t>
      </w:r>
    </w:p>
    <w:p w14:paraId="25889AA4" w14:textId="77777777" w:rsidR="008C2369" w:rsidRDefault="008C2369" w:rsidP="008C2369">
      <w:pPr>
        <w:spacing w:after="0" w:line="240" w:lineRule="auto"/>
        <w:rPr>
          <w:rFonts w:ascii="Arial" w:eastAsia="Times New Roman" w:hAnsi="Arial" w:cs="Arial"/>
        </w:rPr>
      </w:pPr>
    </w:p>
    <w:p w14:paraId="04A14259" w14:textId="77777777" w:rsidR="008C2369" w:rsidRPr="00322949" w:rsidRDefault="008C2369" w:rsidP="008C2369">
      <w:pPr>
        <w:spacing w:after="0" w:line="240" w:lineRule="auto"/>
        <w:rPr>
          <w:rFonts w:ascii="Arial" w:eastAsia="Times New Roman" w:hAnsi="Arial" w:cs="Arial"/>
        </w:rPr>
      </w:pPr>
    </w:p>
    <w:p w14:paraId="397B0FB9" w14:textId="77777777" w:rsidR="008C2369" w:rsidRPr="00322949" w:rsidRDefault="008C2369" w:rsidP="008C2369">
      <w:pPr>
        <w:rPr>
          <w:rFonts w:ascii="Arial" w:hAnsi="Arial" w:cs="Arial"/>
          <w:b/>
          <w:bCs/>
          <w:u w:val="single"/>
        </w:rPr>
      </w:pPr>
      <w:r w:rsidRPr="00322949">
        <w:rPr>
          <w:rFonts w:ascii="Arial" w:hAnsi="Arial" w:cs="Arial"/>
          <w:b/>
          <w:bCs/>
          <w:u w:val="single"/>
        </w:rPr>
        <w:t>AMENDATORY SECTION</w:t>
      </w:r>
    </w:p>
    <w:p w14:paraId="4116F94F" w14:textId="77777777" w:rsidR="008C2369" w:rsidRPr="00322949" w:rsidRDefault="008C2369" w:rsidP="008C2369">
      <w:pPr>
        <w:pStyle w:val="Heading3"/>
        <w:rPr>
          <w:rFonts w:eastAsia="Calibri" w:cs="Arial"/>
          <w:szCs w:val="22"/>
        </w:rPr>
      </w:pPr>
      <w:r w:rsidRPr="00322949">
        <w:rPr>
          <w:rFonts w:eastAsia="Calibri" w:cs="Arial"/>
          <w:szCs w:val="22"/>
        </w:rPr>
        <w:t>WAC 357-58-265 When may an agency make an acting WMS appointment and what actions are required?</w:t>
      </w:r>
    </w:p>
    <w:p w14:paraId="29672205" w14:textId="77777777" w:rsidR="008C2369" w:rsidRPr="00322949" w:rsidRDefault="008C2369" w:rsidP="008C2369">
      <w:pPr>
        <w:numPr>
          <w:ilvl w:val="0"/>
          <w:numId w:val="6"/>
        </w:numPr>
        <w:spacing w:after="0" w:line="240" w:lineRule="auto"/>
        <w:contextualSpacing/>
        <w:rPr>
          <w:rFonts w:ascii="Arial" w:eastAsia="Calibri" w:hAnsi="Arial" w:cs="Arial"/>
        </w:rPr>
      </w:pPr>
      <w:r w:rsidRPr="00322949">
        <w:rPr>
          <w:rFonts w:ascii="Arial" w:eastAsia="Calibri" w:hAnsi="Arial" w:cs="Arial"/>
        </w:rPr>
        <w:lastRenderedPageBreak/>
        <w:t>When necessary to meet organizational needs, an agency may make nonpermanent appointments in WMS. These appointments are called acting appointments. Prior to the acting appointment, the appointing authority must communicate in writing to the employee the anticipated length, intent, salary, and other conditions of the appointment</w:t>
      </w:r>
      <w:r w:rsidRPr="00322949">
        <w:rPr>
          <w:rFonts w:ascii="Arial" w:eastAsia="Calibri" w:hAnsi="Arial" w:cs="Arial"/>
          <w:u w:val="single"/>
        </w:rPr>
        <w:t>; or</w:t>
      </w:r>
    </w:p>
    <w:p w14:paraId="7490D6E1" w14:textId="77777777" w:rsidR="008C2369" w:rsidRPr="00322949" w:rsidRDefault="008C2369" w:rsidP="008C2369">
      <w:pPr>
        <w:numPr>
          <w:ilvl w:val="0"/>
          <w:numId w:val="6"/>
        </w:numPr>
        <w:spacing w:after="0" w:line="240" w:lineRule="auto"/>
        <w:contextualSpacing/>
        <w:rPr>
          <w:rFonts w:ascii="Arial" w:eastAsia="Calibri" w:hAnsi="Arial" w:cs="Arial"/>
          <w:u w:val="single"/>
        </w:rPr>
      </w:pPr>
      <w:r w:rsidRPr="00322949">
        <w:rPr>
          <w:rFonts w:ascii="Arial" w:eastAsia="Calibri" w:hAnsi="Arial" w:cs="Arial"/>
          <w:u w:val="single"/>
        </w:rPr>
        <w:t>When approval has been granted by the Director to redeploy an employee in accordance with WAC 357-04-125.</w:t>
      </w:r>
    </w:p>
    <w:p w14:paraId="7390775D" w14:textId="77777777" w:rsidR="008C2369" w:rsidRPr="00322949" w:rsidRDefault="008C2369" w:rsidP="008C2369">
      <w:pPr>
        <w:rPr>
          <w:rFonts w:ascii="Arial" w:hAnsi="Arial" w:cs="Arial"/>
          <w:b/>
          <w:bCs/>
          <w:u w:val="single"/>
        </w:rPr>
      </w:pPr>
    </w:p>
    <w:p w14:paraId="08400DEB" w14:textId="77777777" w:rsidR="008C2369" w:rsidRPr="00BD5C9B" w:rsidRDefault="008C2369" w:rsidP="008C2369">
      <w:pPr>
        <w:rPr>
          <w:rFonts w:ascii="Arial" w:hAnsi="Arial" w:cs="Arial"/>
          <w:b/>
          <w:bCs/>
          <w:highlight w:val="yellow"/>
          <w:u w:val="single"/>
        </w:rPr>
      </w:pPr>
      <w:r w:rsidRPr="00BD5C9B">
        <w:rPr>
          <w:rFonts w:ascii="Arial" w:hAnsi="Arial" w:cs="Arial"/>
          <w:b/>
          <w:bCs/>
          <w:highlight w:val="yellow"/>
          <w:u w:val="single"/>
        </w:rPr>
        <w:t>AMENDATORY SECTION</w:t>
      </w:r>
    </w:p>
    <w:p w14:paraId="1C62AFD6" w14:textId="77777777" w:rsidR="008C2369" w:rsidRPr="00BD5C9B" w:rsidRDefault="008C2369" w:rsidP="008C2369">
      <w:pPr>
        <w:pStyle w:val="Heading3"/>
        <w:rPr>
          <w:highlight w:val="yellow"/>
        </w:rPr>
      </w:pPr>
      <w:r w:rsidRPr="00BD5C9B">
        <w:rPr>
          <w:highlight w:val="yellow"/>
        </w:rPr>
        <w:t>WAC 357-58-270</w:t>
      </w:r>
      <w:r w:rsidRPr="00BD5C9B">
        <w:rPr>
          <w:rFonts w:eastAsia="Calibri"/>
          <w:highlight w:val="yellow"/>
        </w:rPr>
        <w:t xml:space="preserve"> </w:t>
      </w:r>
      <w:r w:rsidRPr="00BD5C9B">
        <w:rPr>
          <w:highlight w:val="yellow"/>
        </w:rPr>
        <w:t>Does time in an acting appointment count as time in the review period?</w:t>
      </w:r>
    </w:p>
    <w:p w14:paraId="110078D1" w14:textId="77777777" w:rsidR="008C2369" w:rsidRPr="00B2786B" w:rsidRDefault="008C2369" w:rsidP="008C2369">
      <w:pPr>
        <w:pStyle w:val="ListParagraph"/>
        <w:numPr>
          <w:ilvl w:val="0"/>
          <w:numId w:val="20"/>
        </w:numPr>
        <w:rPr>
          <w:rFonts w:ascii="Arial" w:hAnsi="Arial" w:cs="Arial"/>
        </w:rPr>
      </w:pPr>
      <w:r w:rsidRPr="00B2786B">
        <w:rPr>
          <w:rFonts w:ascii="Arial" w:hAnsi="Arial" w:cs="Arial"/>
          <w:highlight w:val="yellow"/>
        </w:rPr>
        <w:t xml:space="preserve">When an individual who is in an acting WMS appointment </w:t>
      </w:r>
      <w:r w:rsidRPr="00B2786B">
        <w:rPr>
          <w:rFonts w:ascii="Arial" w:hAnsi="Arial" w:cs="Arial"/>
          <w:highlight w:val="yellow"/>
          <w:u w:val="single"/>
        </w:rPr>
        <w:t>for reasons specified in WAC 357-58-265(1)</w:t>
      </w:r>
      <w:r w:rsidRPr="00B2786B">
        <w:rPr>
          <w:rFonts w:ascii="Arial" w:hAnsi="Arial" w:cs="Arial"/>
          <w:highlight w:val="yellow"/>
        </w:rPr>
        <w:t xml:space="preserve"> is subsequently appointed to a permanent WMS position, time spent in the acting appointment may count towards the review period for the permanent WMS position at the discretion of the appointing authority.</w:t>
      </w:r>
    </w:p>
    <w:p w14:paraId="5A2795C2" w14:textId="77777777" w:rsidR="008C2369" w:rsidRPr="00B2786B" w:rsidRDefault="008C2369" w:rsidP="008C2369">
      <w:pPr>
        <w:pStyle w:val="ListParagraph"/>
        <w:numPr>
          <w:ilvl w:val="0"/>
          <w:numId w:val="20"/>
        </w:numPr>
        <w:rPr>
          <w:rFonts w:ascii="Arial" w:hAnsi="Arial" w:cs="Arial"/>
          <w:szCs w:val="27"/>
          <w:highlight w:val="yellow"/>
          <w:u w:val="single"/>
        </w:rPr>
      </w:pPr>
      <w:r w:rsidRPr="00B2786B">
        <w:rPr>
          <w:rFonts w:ascii="Arial" w:hAnsi="Arial" w:cs="Arial"/>
          <w:highlight w:val="yellow"/>
          <w:u w:val="single"/>
        </w:rPr>
        <w:t xml:space="preserve">When an individual who is in an acting WMS appointment for reasons specified in WAC 357-58-265(2) is subsequently appointed to a same or similar permanent WMS position, time spent in the acting appointment must count towards the review period for the permanent WMS position. </w:t>
      </w:r>
    </w:p>
    <w:bookmarkEnd w:id="26"/>
    <w:p w14:paraId="3BA91748" w14:textId="77777777" w:rsidR="008C2369" w:rsidRPr="00BD5C9B" w:rsidRDefault="008C2369" w:rsidP="008C2369">
      <w:pPr>
        <w:rPr>
          <w:rFonts w:ascii="Arial" w:hAnsi="Arial" w:cs="Arial"/>
          <w:b/>
          <w:bCs/>
          <w:u w:val="single"/>
        </w:rPr>
      </w:pPr>
      <w:r w:rsidRPr="00322949">
        <w:rPr>
          <w:rFonts w:ascii="Arial" w:hAnsi="Arial" w:cs="Arial"/>
          <w:b/>
          <w:bCs/>
          <w:u w:val="single"/>
        </w:rPr>
        <w:t>AMENDATORY SECTION</w:t>
      </w:r>
    </w:p>
    <w:p w14:paraId="60EEFCE5" w14:textId="77777777" w:rsidR="008C2369" w:rsidRPr="000E5CEB" w:rsidRDefault="008C2369" w:rsidP="008C2369">
      <w:pPr>
        <w:pStyle w:val="Heading3"/>
        <w:rPr>
          <w:rFonts w:eastAsia="Calibri"/>
        </w:rPr>
      </w:pPr>
      <w:r w:rsidRPr="000E5CEB">
        <w:rPr>
          <w:rFonts w:eastAsia="Calibri"/>
        </w:rPr>
        <w:t>WAC 357-58-275 May a permanent WMS employee accept an acting WMS appointment and what are the employee's return rights at the conclusion of the acting appointment?</w:t>
      </w:r>
    </w:p>
    <w:p w14:paraId="4B68D1EE" w14:textId="77777777" w:rsidR="008C2369" w:rsidRPr="00322949" w:rsidRDefault="008C2369" w:rsidP="008C2369">
      <w:pPr>
        <w:rPr>
          <w:rFonts w:ascii="Arial" w:eastAsia="Calibri" w:hAnsi="Arial" w:cs="Arial"/>
        </w:rPr>
      </w:pPr>
      <w:r w:rsidRPr="00322949">
        <w:rPr>
          <w:rFonts w:ascii="Arial" w:eastAsia="Calibri" w:hAnsi="Arial" w:cs="Arial"/>
          <w:u w:val="single"/>
        </w:rPr>
        <w:t xml:space="preserve">(1) </w:t>
      </w:r>
      <w:r w:rsidRPr="00322949">
        <w:rPr>
          <w:rFonts w:ascii="Arial" w:eastAsia="Calibri" w:hAnsi="Arial" w:cs="Arial"/>
        </w:rPr>
        <w:t xml:space="preserve">Permanent WMS employees may accept acting appointments to WMS positions </w:t>
      </w:r>
      <w:r w:rsidRPr="00322949">
        <w:rPr>
          <w:rFonts w:ascii="Arial" w:eastAsia="Calibri" w:hAnsi="Arial" w:cs="Arial"/>
          <w:u w:val="single"/>
        </w:rPr>
        <w:t>for reasons specified in WAC 357-58-265(1).</w:t>
      </w:r>
    </w:p>
    <w:p w14:paraId="0F4A7127" w14:textId="77777777" w:rsidR="008C2369" w:rsidRPr="00322949" w:rsidRDefault="008C2369" w:rsidP="008C2369">
      <w:pPr>
        <w:rPr>
          <w:rFonts w:ascii="Arial" w:eastAsia="Calibri" w:hAnsi="Arial" w:cs="Arial"/>
        </w:rPr>
      </w:pPr>
      <w:r w:rsidRPr="00322949">
        <w:rPr>
          <w:rFonts w:ascii="Arial" w:eastAsia="Calibri" w:hAnsi="Arial" w:cs="Arial"/>
          <w:u w:val="single"/>
        </w:rPr>
        <w:t>(a)</w:t>
      </w:r>
      <w:r w:rsidRPr="00322949">
        <w:rPr>
          <w:rFonts w:ascii="Arial" w:eastAsia="Calibri" w:hAnsi="Arial" w:cs="Arial"/>
          <w:strike/>
        </w:rPr>
        <w:t>(1)</w:t>
      </w:r>
      <w:r w:rsidRPr="00322949">
        <w:rPr>
          <w:rFonts w:ascii="Arial" w:eastAsia="Calibri" w:hAnsi="Arial" w:cs="Arial"/>
        </w:rPr>
        <w:t xml:space="preserve"> When a permanent WMS employee has accepted an acting appointment within the </w:t>
      </w:r>
      <w:r w:rsidRPr="00322949">
        <w:rPr>
          <w:rFonts w:ascii="Arial" w:eastAsia="Calibri" w:hAnsi="Arial" w:cs="Arial"/>
          <w:b/>
          <w:bCs/>
          <w:i/>
          <w:iCs/>
        </w:rPr>
        <w:t>same</w:t>
      </w:r>
      <w:r w:rsidRPr="00322949">
        <w:rPr>
          <w:rFonts w:ascii="Arial" w:eastAsia="Calibri" w:hAnsi="Arial" w:cs="Arial"/>
          <w:i/>
          <w:iCs/>
        </w:rPr>
        <w:t> agency</w:t>
      </w:r>
      <w:r w:rsidRPr="00322949">
        <w:rPr>
          <w:rFonts w:ascii="Arial" w:eastAsia="Calibri" w:hAnsi="Arial" w:cs="Arial"/>
        </w:rPr>
        <w:t xml:space="preserve"> and the acting appointment ends the following applies:</w:t>
      </w:r>
    </w:p>
    <w:p w14:paraId="35E3A8E7" w14:textId="77777777" w:rsidR="008C2369" w:rsidRPr="00322949" w:rsidRDefault="008C2369" w:rsidP="008C2369">
      <w:pPr>
        <w:rPr>
          <w:rFonts w:ascii="Arial" w:eastAsia="Calibri" w:hAnsi="Arial" w:cs="Arial"/>
        </w:rPr>
      </w:pPr>
      <w:r w:rsidRPr="00322949">
        <w:rPr>
          <w:rFonts w:ascii="Arial" w:eastAsia="Calibri" w:hAnsi="Arial" w:cs="Arial"/>
          <w:u w:val="single"/>
        </w:rPr>
        <w:t>(i)</w:t>
      </w:r>
      <w:r w:rsidRPr="00322949">
        <w:rPr>
          <w:rFonts w:ascii="Arial" w:eastAsia="Calibri" w:hAnsi="Arial" w:cs="Arial"/>
          <w:strike/>
        </w:rPr>
        <w:t>(a)</w:t>
      </w:r>
      <w:r w:rsidRPr="00322949">
        <w:rPr>
          <w:rFonts w:ascii="Arial" w:eastAsia="Calibri" w:hAnsi="Arial" w:cs="Arial"/>
        </w:rPr>
        <w:t xml:space="preserve"> The agency may agree to return the employee to a permanent WMS position. If returning to a permanent WMS position, the employee's salary must not be less than the salary of the previously held permanent WMS position.</w:t>
      </w:r>
    </w:p>
    <w:p w14:paraId="79D3878C" w14:textId="77777777" w:rsidR="008C2369" w:rsidRPr="00322949" w:rsidRDefault="008C2369" w:rsidP="008C2369">
      <w:pPr>
        <w:rPr>
          <w:rFonts w:ascii="Arial" w:eastAsia="Calibri" w:hAnsi="Arial" w:cs="Arial"/>
        </w:rPr>
      </w:pPr>
      <w:r w:rsidRPr="00322949">
        <w:rPr>
          <w:rFonts w:ascii="Arial" w:eastAsia="Calibri" w:hAnsi="Arial" w:cs="Arial"/>
          <w:u w:val="single"/>
        </w:rPr>
        <w:t>(ii)</w:t>
      </w:r>
      <w:r w:rsidRPr="00322949">
        <w:rPr>
          <w:rFonts w:ascii="Arial" w:eastAsia="Calibri" w:hAnsi="Arial" w:cs="Arial"/>
          <w:strike/>
        </w:rPr>
        <w:t>(b)</w:t>
      </w:r>
      <w:r w:rsidRPr="00322949">
        <w:rPr>
          <w:rFonts w:ascii="Arial" w:eastAsia="Calibri" w:hAnsi="Arial" w:cs="Arial"/>
        </w:rPr>
        <w:t xml:space="preserve"> The agency at a minimum provide the employee the layoff rights of the employee's permanent WMS position in accordance with WAC </w:t>
      </w:r>
      <w:hyperlink r:id="rId42" w:history="1">
        <w:r w:rsidRPr="00322949">
          <w:rPr>
            <w:rFonts w:ascii="Arial" w:eastAsia="Calibri" w:hAnsi="Arial" w:cs="Arial"/>
            <w:b/>
            <w:bCs/>
            <w:color w:val="0563C1"/>
            <w:u w:val="single"/>
          </w:rPr>
          <w:t>357-58-465</w:t>
        </w:r>
      </w:hyperlink>
      <w:r w:rsidRPr="00322949">
        <w:rPr>
          <w:rFonts w:ascii="Arial" w:eastAsia="Calibri" w:hAnsi="Arial" w:cs="Arial"/>
        </w:rPr>
        <w:t>.</w:t>
      </w:r>
    </w:p>
    <w:p w14:paraId="4303F9B3" w14:textId="77777777" w:rsidR="008C2369" w:rsidRPr="00322949" w:rsidRDefault="008C2369" w:rsidP="008C2369">
      <w:pPr>
        <w:rPr>
          <w:rFonts w:ascii="Arial" w:eastAsia="Calibri" w:hAnsi="Arial" w:cs="Arial"/>
        </w:rPr>
      </w:pPr>
      <w:r w:rsidRPr="00322949">
        <w:rPr>
          <w:rFonts w:ascii="Arial" w:eastAsia="Calibri" w:hAnsi="Arial" w:cs="Arial"/>
          <w:u w:val="single"/>
        </w:rPr>
        <w:t>(b)</w:t>
      </w:r>
      <w:r w:rsidRPr="00322949">
        <w:rPr>
          <w:rFonts w:ascii="Arial" w:eastAsia="Calibri" w:hAnsi="Arial" w:cs="Arial"/>
          <w:strike/>
        </w:rPr>
        <w:t>(2)</w:t>
      </w:r>
      <w:r w:rsidRPr="00322949">
        <w:rPr>
          <w:rFonts w:ascii="Arial" w:eastAsia="Calibri" w:hAnsi="Arial" w:cs="Arial"/>
        </w:rPr>
        <w:t xml:space="preserve"> When a permanent WMS employee has accepted an acting appointment within </w:t>
      </w:r>
      <w:r w:rsidRPr="00322949">
        <w:rPr>
          <w:rFonts w:ascii="Arial" w:eastAsia="Calibri" w:hAnsi="Arial" w:cs="Arial"/>
          <w:i/>
          <w:iCs/>
        </w:rPr>
        <w:t>a </w:t>
      </w:r>
      <w:r w:rsidRPr="00322949">
        <w:rPr>
          <w:rFonts w:ascii="Arial" w:eastAsia="Calibri" w:hAnsi="Arial" w:cs="Arial"/>
          <w:b/>
          <w:bCs/>
          <w:i/>
          <w:iCs/>
        </w:rPr>
        <w:t>different</w:t>
      </w:r>
      <w:r w:rsidRPr="00322949">
        <w:rPr>
          <w:rFonts w:ascii="Arial" w:eastAsia="Calibri" w:hAnsi="Arial" w:cs="Arial"/>
          <w:i/>
          <w:iCs/>
        </w:rPr>
        <w:t> agency</w:t>
      </w:r>
      <w:r w:rsidRPr="00322949">
        <w:rPr>
          <w:rFonts w:ascii="Arial" w:eastAsia="Calibri" w:hAnsi="Arial" w:cs="Arial"/>
        </w:rPr>
        <w:t xml:space="preserve">, the original agency must provide layoff rights as specified in subsection </w:t>
      </w:r>
      <w:r w:rsidRPr="00322949">
        <w:rPr>
          <w:rFonts w:ascii="Arial" w:eastAsia="Calibri" w:hAnsi="Arial" w:cs="Arial"/>
          <w:u w:val="single"/>
        </w:rPr>
        <w:t>(a)</w:t>
      </w:r>
      <w:r w:rsidRPr="00322949">
        <w:rPr>
          <w:rFonts w:ascii="Arial" w:eastAsia="Calibri" w:hAnsi="Arial" w:cs="Arial"/>
          <w:strike/>
        </w:rPr>
        <w:t xml:space="preserve">(1) </w:t>
      </w:r>
      <w:r w:rsidRPr="00322949">
        <w:rPr>
          <w:rFonts w:ascii="Arial" w:eastAsia="Calibri" w:hAnsi="Arial" w:cs="Arial"/>
        </w:rPr>
        <w:t>of this section for six months from the time the employee is appointed. Any return right after six months is negotiable between the employee and agency and must be agreed to prior to the employee accepting the nonpermanent appointment. If the employee does not return on the agreed upon date, the employee can request placement in the general government transition pool per WAC </w:t>
      </w:r>
      <w:hyperlink r:id="rId43" w:history="1">
        <w:r w:rsidRPr="00322949">
          <w:rPr>
            <w:rFonts w:ascii="Arial" w:eastAsia="Calibri" w:hAnsi="Arial" w:cs="Arial"/>
            <w:b/>
            <w:bCs/>
            <w:color w:val="0563C1"/>
            <w:u w:val="single"/>
          </w:rPr>
          <w:t>357-46-095</w:t>
        </w:r>
      </w:hyperlink>
      <w:r w:rsidRPr="00322949">
        <w:rPr>
          <w:rFonts w:ascii="Arial" w:eastAsia="Calibri" w:hAnsi="Arial" w:cs="Arial"/>
        </w:rPr>
        <w:t>.</w:t>
      </w:r>
    </w:p>
    <w:p w14:paraId="2292C99F" w14:textId="77777777" w:rsidR="0060010B" w:rsidRDefault="008C2369" w:rsidP="008C2369">
      <w:pPr>
        <w:rPr>
          <w:rFonts w:ascii="Arial" w:eastAsia="Calibri" w:hAnsi="Arial" w:cs="Arial"/>
        </w:rPr>
      </w:pPr>
      <w:r w:rsidRPr="00322949">
        <w:rPr>
          <w:rFonts w:ascii="Arial" w:eastAsia="Calibri" w:hAnsi="Arial" w:cs="Arial"/>
        </w:rPr>
        <w:t>(c)(</w:t>
      </w:r>
      <w:r w:rsidRPr="00322949">
        <w:rPr>
          <w:rFonts w:ascii="Arial" w:eastAsia="Calibri" w:hAnsi="Arial" w:cs="Arial"/>
          <w:strike/>
        </w:rPr>
        <w:t>3)</w:t>
      </w:r>
      <w:r w:rsidRPr="00322949">
        <w:rPr>
          <w:rFonts w:ascii="Arial" w:eastAsia="Calibri" w:hAnsi="Arial" w:cs="Arial"/>
        </w:rPr>
        <w:t xml:space="preserve"> In lieu of the rights provided in subsections </w:t>
      </w:r>
      <w:r w:rsidRPr="00322949">
        <w:rPr>
          <w:rFonts w:ascii="Arial" w:eastAsia="Calibri" w:hAnsi="Arial" w:cs="Arial"/>
          <w:strike/>
        </w:rPr>
        <w:t>(1)</w:t>
      </w:r>
      <w:r w:rsidRPr="00322949">
        <w:rPr>
          <w:rFonts w:ascii="Arial" w:eastAsia="Calibri" w:hAnsi="Arial" w:cs="Arial"/>
          <w:u w:val="single"/>
        </w:rPr>
        <w:t>(a)</w:t>
      </w:r>
      <w:r w:rsidRPr="00322949">
        <w:rPr>
          <w:rFonts w:ascii="Arial" w:eastAsia="Calibri" w:hAnsi="Arial" w:cs="Arial"/>
        </w:rPr>
        <w:t xml:space="preserve"> and </w:t>
      </w:r>
      <w:r w:rsidRPr="00322949">
        <w:rPr>
          <w:rFonts w:ascii="Arial" w:eastAsia="Calibri" w:hAnsi="Arial" w:cs="Arial"/>
          <w:u w:val="single"/>
        </w:rPr>
        <w:t>(b)</w:t>
      </w:r>
      <w:r w:rsidRPr="00322949">
        <w:rPr>
          <w:rFonts w:ascii="Arial" w:eastAsia="Calibri" w:hAnsi="Arial" w:cs="Arial"/>
          <w:strike/>
        </w:rPr>
        <w:t xml:space="preserve">(2) </w:t>
      </w:r>
      <w:r w:rsidRPr="00322949">
        <w:rPr>
          <w:rFonts w:ascii="Arial" w:eastAsia="Calibri" w:hAnsi="Arial" w:cs="Arial"/>
        </w:rPr>
        <w:t>of this section, the agency and the employee may agree to other terms.</w:t>
      </w:r>
    </w:p>
    <w:p w14:paraId="2F0A9F38" w14:textId="6B60A742" w:rsidR="008C2369" w:rsidRPr="00322949" w:rsidRDefault="008C2369" w:rsidP="008C2369">
      <w:pPr>
        <w:rPr>
          <w:rFonts w:ascii="Arial" w:eastAsia="Calibri" w:hAnsi="Arial" w:cs="Arial"/>
        </w:rPr>
      </w:pPr>
      <w:r w:rsidRPr="00322949">
        <w:rPr>
          <w:rFonts w:ascii="Arial" w:eastAsia="Calibri" w:hAnsi="Arial" w:cs="Arial"/>
        </w:rPr>
        <w:lastRenderedPageBreak/>
        <w:t xml:space="preserve">(2) </w:t>
      </w:r>
      <w:r w:rsidRPr="00322949">
        <w:rPr>
          <w:rFonts w:ascii="Arial" w:eastAsia="Calibri" w:hAnsi="Arial" w:cs="Arial"/>
          <w:u w:val="single"/>
        </w:rPr>
        <w:t xml:space="preserve">When a WMS employee has been redeployed into an acting WMS </w:t>
      </w:r>
      <w:r w:rsidRPr="00793DDE">
        <w:rPr>
          <w:rFonts w:ascii="Arial" w:eastAsia="Calibri" w:hAnsi="Arial" w:cs="Arial"/>
          <w:strike/>
          <w:highlight w:val="yellow"/>
          <w:u w:val="single"/>
        </w:rPr>
        <w:t>position</w:t>
      </w:r>
      <w:r w:rsidR="0060010B">
        <w:rPr>
          <w:rFonts w:ascii="Arial" w:eastAsia="Calibri" w:hAnsi="Arial" w:cs="Arial"/>
          <w:u w:val="single"/>
        </w:rPr>
        <w:t xml:space="preserve"> </w:t>
      </w:r>
      <w:r w:rsidR="0060010B" w:rsidRPr="0060010B">
        <w:rPr>
          <w:rFonts w:ascii="Arial" w:eastAsia="Calibri" w:hAnsi="Arial" w:cs="Arial"/>
          <w:highlight w:val="yellow"/>
          <w:u w:val="single"/>
        </w:rPr>
        <w:t>appointment</w:t>
      </w:r>
      <w:r w:rsidR="0060010B">
        <w:rPr>
          <w:rFonts w:ascii="Arial" w:eastAsia="Calibri" w:hAnsi="Arial" w:cs="Arial"/>
          <w:u w:val="single"/>
        </w:rPr>
        <w:t xml:space="preserve"> </w:t>
      </w:r>
      <w:r w:rsidRPr="00322949">
        <w:rPr>
          <w:rFonts w:ascii="Arial" w:eastAsia="Calibri" w:hAnsi="Arial" w:cs="Arial"/>
          <w:u w:val="single"/>
        </w:rPr>
        <w:t>for reasons specified in WAC 357-58-265(2) the employee must be returned to the same position held prior to the redeployment at the conclusion of the acting appointment.</w:t>
      </w:r>
      <w:bookmarkEnd w:id="3"/>
    </w:p>
    <w:bookmarkEnd w:id="4"/>
    <w:p w14:paraId="458AFC3D" w14:textId="77777777" w:rsidR="008C2369" w:rsidRPr="00322949" w:rsidRDefault="008C2369" w:rsidP="008C2369">
      <w:pPr>
        <w:rPr>
          <w:rFonts w:ascii="Arial" w:hAnsi="Arial" w:cs="Arial"/>
          <w:b/>
          <w:bCs/>
          <w:u w:val="single"/>
        </w:rPr>
      </w:pPr>
      <w:r w:rsidRPr="00322949">
        <w:rPr>
          <w:rFonts w:ascii="Arial" w:hAnsi="Arial" w:cs="Arial"/>
          <w:b/>
          <w:bCs/>
          <w:u w:val="single"/>
        </w:rPr>
        <w:t>REFERENCE ONLY</w:t>
      </w:r>
    </w:p>
    <w:p w14:paraId="7FFB8247" w14:textId="77777777" w:rsidR="008C2369" w:rsidRPr="00322949" w:rsidRDefault="008C2369" w:rsidP="008C2369">
      <w:pPr>
        <w:rPr>
          <w:rFonts w:ascii="Arial" w:eastAsia="Times New Roman" w:hAnsi="Arial" w:cs="Arial"/>
          <w:b/>
          <w:bCs/>
          <w:color w:val="000000"/>
        </w:rPr>
      </w:pPr>
      <w:r w:rsidRPr="00322949">
        <w:rPr>
          <w:rFonts w:ascii="Arial" w:eastAsia="Times New Roman" w:hAnsi="Arial" w:cs="Arial"/>
          <w:b/>
          <w:bCs/>
          <w:color w:val="000000"/>
        </w:rPr>
        <w:t>RCW </w:t>
      </w:r>
      <w:hyperlink r:id="rId44" w:history="1">
        <w:r w:rsidRPr="00322949">
          <w:rPr>
            <w:rFonts w:ascii="Arial" w:eastAsia="Times New Roman" w:hAnsi="Arial" w:cs="Arial"/>
            <w:b/>
            <w:bCs/>
            <w:color w:val="2B674D"/>
          </w:rPr>
          <w:t>38.52.010</w:t>
        </w:r>
      </w:hyperlink>
      <w:r w:rsidRPr="00322949">
        <w:rPr>
          <w:rFonts w:ascii="Arial" w:eastAsia="Times New Roman" w:hAnsi="Arial" w:cs="Arial"/>
          <w:b/>
          <w:bCs/>
          <w:color w:val="000000"/>
        </w:rPr>
        <w:t xml:space="preserve"> Definitions.</w:t>
      </w:r>
    </w:p>
    <w:p w14:paraId="6EC1E0FD" w14:textId="77777777" w:rsidR="008C2369" w:rsidRPr="00322949" w:rsidRDefault="008C2369" w:rsidP="008C2369">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As used in this chapter:</w:t>
      </w:r>
    </w:p>
    <w:p w14:paraId="1EE14C36" w14:textId="77777777" w:rsidR="008C2369" w:rsidRPr="00322949" w:rsidRDefault="008C2369" w:rsidP="008C2369">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(1) "911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14:paraId="443588A9" w14:textId="77777777" w:rsidR="008C2369" w:rsidRPr="00322949" w:rsidRDefault="008C2369" w:rsidP="008C2369">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(2) "Automatic location identification" means information about a caller's location that is part of or associated with an enhanced or next generation 911 emergency communications system as defined in this section and RCW </w:t>
      </w:r>
      <w:hyperlink r:id="rId45" w:history="1">
        <w:r w:rsidRPr="00322949">
          <w:rPr>
            <w:rFonts w:ascii="Arial" w:eastAsia="Times New Roman" w:hAnsi="Arial" w:cs="Arial"/>
            <w:b/>
            <w:bCs/>
            <w:color w:val="2B674D"/>
            <w:u w:val="single"/>
          </w:rPr>
          <w:t>82.14B.020</w:t>
        </w:r>
      </w:hyperlink>
      <w:r w:rsidRPr="00322949">
        <w:rPr>
          <w:rFonts w:ascii="Arial" w:eastAsia="Times New Roman" w:hAnsi="Arial" w:cs="Arial"/>
          <w:color w:val="000000"/>
        </w:rPr>
        <w:t> and intended for the purpose of display at a public safety answering point with incoming 911 voice or data, or both.</w:t>
      </w:r>
    </w:p>
    <w:p w14:paraId="54C89B74"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(3) "Automatic number identification" means a method for uniquely a</w:t>
      </w:r>
      <w:r w:rsidRPr="00C61356">
        <w:rPr>
          <w:rFonts w:ascii="Arial" w:eastAsia="Times New Roman" w:hAnsi="Arial" w:cs="Arial"/>
          <w:color w:val="000000"/>
        </w:rPr>
        <w:t>ssociating a communication device that has accessed 911 with the incoming 911 voice or data, or both, and intended for the purpose of display at a public safety answering point.</w:t>
      </w:r>
    </w:p>
    <w:p w14:paraId="2F0085BC"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14:paraId="421759E9"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(5) "Broadcaster" means a person or entity that holds a license issued by the federal communications commission under 47 C.F.R. Part 73, 74, 76, or 78.</w:t>
      </w:r>
    </w:p>
    <w:p w14:paraId="14E1069B"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(6)(a)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14:paraId="17C71C50"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(b) "Catastrophic incident" does not include an event resulting from individuals exercising their rights, </w:t>
      </w:r>
      <w:proofErr w:type="gramStart"/>
      <w:r w:rsidRPr="00C61356">
        <w:rPr>
          <w:rFonts w:ascii="Arial" w:eastAsia="Times New Roman" w:hAnsi="Arial" w:cs="Arial"/>
          <w:color w:val="000000"/>
        </w:rPr>
        <w:t>under the first amendment,</w:t>
      </w:r>
      <w:proofErr w:type="gramEnd"/>
      <w:r w:rsidRPr="00C61356">
        <w:rPr>
          <w:rFonts w:ascii="Arial" w:eastAsia="Times New Roman" w:hAnsi="Arial" w:cs="Arial"/>
          <w:color w:val="000000"/>
        </w:rPr>
        <w:t xml:space="preserve"> of freedom of speech, and of the people to peaceably assemble.</w:t>
      </w:r>
    </w:p>
    <w:p w14:paraId="4C95DEC9"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(7) "Communication plan," as used in RCW </w:t>
      </w:r>
      <w:hyperlink r:id="rId46" w:history="1">
        <w:r w:rsidRPr="00C61356">
          <w:rPr>
            <w:rFonts w:ascii="Arial" w:eastAsia="Times New Roman" w:hAnsi="Arial" w:cs="Arial"/>
            <w:b/>
            <w:bCs/>
            <w:color w:val="2B674D"/>
            <w:u w:val="single"/>
          </w:rPr>
          <w:t>38.52.070</w:t>
        </w:r>
      </w:hyperlink>
      <w:r w:rsidRPr="00C61356">
        <w:rPr>
          <w:rFonts w:ascii="Arial" w:eastAsia="Times New Roman" w:hAnsi="Arial" w:cs="Arial"/>
          <w:color w:val="000000"/>
        </w:rPr>
        <w:t>, means a section in a local comprehensive emergency management plan that addresses emergency notification of life safety information.</w:t>
      </w:r>
    </w:p>
    <w:p w14:paraId="2C90A7ED"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(8)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14:paraId="4486FFF2"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lastRenderedPageBreak/>
        <w:t>(9) "Continuity of operations planning" means the internal effort of an organization to provide that the capability exists to continue essential functions and services in response to a comprehensive array of potential emergencies or disasters.</w:t>
      </w:r>
    </w:p>
    <w:p w14:paraId="0A15C062"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(10) "Department" means the state military department.</w:t>
      </w:r>
    </w:p>
    <w:p w14:paraId="7F821E6E"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(11) "Director" means the adjutant general.</w:t>
      </w:r>
    </w:p>
    <w:p w14:paraId="3DD64FF5"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(12)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14:paraId="61C6365B"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8C2369">
        <w:rPr>
          <w:rFonts w:ascii="Arial" w:eastAsia="Times New Roman" w:hAnsi="Arial" w:cs="Arial"/>
          <w:color w:val="000000"/>
        </w:rPr>
        <w:t>(13)(a) "Emergency or disaster" as used in all sections of this chapter except RCW </w:t>
      </w:r>
      <w:hyperlink r:id="rId47" w:history="1">
        <w:r w:rsidRPr="008C2369">
          <w:rPr>
            <w:rFonts w:ascii="Arial" w:eastAsia="Times New Roman" w:hAnsi="Arial" w:cs="Arial"/>
            <w:b/>
            <w:bCs/>
            <w:color w:val="2B674D"/>
            <w:u w:val="single"/>
          </w:rPr>
          <w:t>38.52.430</w:t>
        </w:r>
      </w:hyperlink>
      <w:r w:rsidRPr="008C2369">
        <w:rPr>
          <w:rFonts w:ascii="Arial" w:eastAsia="Times New Roman" w:hAnsi="Arial" w:cs="Arial"/>
          <w:color w:val="000000"/>
        </w:rPr>
        <w:t>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w:t>
      </w:r>
      <w:hyperlink r:id="rId48" w:history="1">
        <w:r w:rsidRPr="008C2369">
          <w:rPr>
            <w:rFonts w:ascii="Arial" w:eastAsia="Times New Roman" w:hAnsi="Arial" w:cs="Arial"/>
            <w:b/>
            <w:bCs/>
            <w:color w:val="2B674D"/>
            <w:u w:val="single"/>
          </w:rPr>
          <w:t>43.06.010</w:t>
        </w:r>
      </w:hyperlink>
      <w:r w:rsidRPr="008C2369">
        <w:rPr>
          <w:rFonts w:ascii="Arial" w:eastAsia="Times New Roman" w:hAnsi="Arial" w:cs="Arial"/>
          <w:color w:val="000000"/>
        </w:rPr>
        <w:t>.</w:t>
      </w:r>
    </w:p>
    <w:p w14:paraId="0C201E6C"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"Emergency" as used in RCW </w:t>
      </w:r>
      <w:hyperlink r:id="rId49"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means an incident that requires a normal police, coroner, fire, rescue, emergency medical services, or utility response as a result of a violation of one of the statutes enumerated in RCW </w:t>
      </w:r>
      <w:hyperlink r:id="rId50"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w:t>
      </w:r>
    </w:p>
    <w:p w14:paraId="473BD526"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(14) "Emergency response" as used in RCW </w:t>
      </w:r>
      <w:hyperlink r:id="rId51"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means a public agency's use of emergency services during an emergency or disaster as defined in subsection (13)(b) of this section.</w:t>
      </w:r>
    </w:p>
    <w:p w14:paraId="5D6CEA52"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14:paraId="36662BA0"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(16) "Emergency services communications system data" includes voice or audio; multimedia, including pictures and video; text messages; telematics or </w:t>
      </w:r>
      <w:proofErr w:type="spellStart"/>
      <w:r w:rsidRPr="00C61356">
        <w:rPr>
          <w:rFonts w:ascii="Arial" w:eastAsia="Times New Roman" w:hAnsi="Arial" w:cs="Arial"/>
          <w:color w:val="000000"/>
        </w:rPr>
        <w:t>telemetrics</w:t>
      </w:r>
      <w:proofErr w:type="spellEnd"/>
      <w:r w:rsidRPr="00C61356">
        <w:rPr>
          <w:rFonts w:ascii="Arial" w:eastAsia="Times New Roman" w:hAnsi="Arial" w:cs="Arial"/>
          <w:color w:val="000000"/>
        </w:rPr>
        <w:t>; or other information that is received or displayed, or both, at a public safety answering point in association with a 911 access.</w:t>
      </w:r>
    </w:p>
    <w:p w14:paraId="08A458D1"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(17)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14:paraId="23F00C8A"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14:paraId="4B1DCFF7"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(19) "Expense of an emergency response" as used in RCW </w:t>
      </w:r>
      <w:hyperlink r:id="rId52"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xml:space="preserve">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w:t>
      </w:r>
      <w:r w:rsidRPr="00C61356">
        <w:rPr>
          <w:rFonts w:ascii="Arial" w:eastAsia="Times New Roman" w:hAnsi="Arial" w:cs="Arial"/>
          <w:color w:val="000000"/>
        </w:rPr>
        <w:lastRenderedPageBreak/>
        <w:t>firefighting, rescue, emergency medical services, or utility response at the scene of the incident, as well as the salaries of the personnel responding to the incident.</w:t>
      </w:r>
    </w:p>
    <w:p w14:paraId="51C01BA8"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(20) "First informer broadcaster" means an individual who:</w:t>
      </w:r>
    </w:p>
    <w:p w14:paraId="51F1EF92"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(a) Is employed by, or acting pursuant to a contract under the direction of, a broadcaster; and</w:t>
      </w:r>
    </w:p>
    <w:p w14:paraId="49809153"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(b)(i) Maintains, including repairing or resupplying, transmitters, generators, or other essential equipment at a broadcast station or facility; or (ii) provides technical support services to broadcasters needed during a period of proclaimed emergency.</w:t>
      </w:r>
    </w:p>
    <w:p w14:paraId="6453FC76"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w:t>
      </w:r>
      <w:proofErr w:type="spellStart"/>
      <w:r w:rsidRPr="00C61356">
        <w:rPr>
          <w:rFonts w:ascii="Arial" w:eastAsia="Times New Roman" w:hAnsi="Arial" w:cs="Arial"/>
          <w:color w:val="000000"/>
        </w:rPr>
        <w:t>multijurisdiction</w:t>
      </w:r>
      <w:proofErr w:type="spellEnd"/>
      <w:r w:rsidRPr="00C61356">
        <w:rPr>
          <w:rFonts w:ascii="Arial" w:eastAsia="Times New Roman" w:hAnsi="Arial" w:cs="Arial"/>
          <w:color w:val="000000"/>
        </w:rPr>
        <w:t xml:space="preserve"> operations while maintaining individual agency/jurisdiction authority, responsibility, and accountability; and is a component of the national interagency incident management system; or (b) an equivalent and compatible all-hazards, on-scene functional management system.</w:t>
      </w:r>
    </w:p>
    <w:p w14:paraId="05091682"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(22) "Injury" as used in this chapter shall mean and include accidental injuries and/or occupational diseases arising out of emergency management activities.</w:t>
      </w:r>
    </w:p>
    <w:p w14:paraId="48B13252"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14:paraId="50E45D5D"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(24)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14:paraId="63DE9000"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(25) "Local director" means the director of a local organization of emergency management or emergency services.</w:t>
      </w:r>
    </w:p>
    <w:p w14:paraId="6C473A52"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(26) "Local organization for emergency services or management" means an organization created in accordance with the provisions of this chapter by state or local authority to perform local emergency management functions.</w:t>
      </w:r>
    </w:p>
    <w:p w14:paraId="03955254"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(27) "Next generation 911" means an internet protocol-based system comprised of managed emergency services internet protocol networks, functional elements (applications), and databases that replicate enhanced 911 features and functions as defined in RCW </w:t>
      </w:r>
      <w:hyperlink r:id="rId53" w:history="1">
        <w:r w:rsidRPr="00C61356">
          <w:rPr>
            <w:rFonts w:ascii="Arial" w:eastAsia="Times New Roman" w:hAnsi="Arial" w:cs="Arial"/>
            <w:b/>
            <w:bCs/>
            <w:color w:val="2B674D"/>
            <w:u w:val="single"/>
          </w:rPr>
          <w:t>82.14B.020</w:t>
        </w:r>
      </w:hyperlink>
      <w:r w:rsidRPr="00C61356">
        <w:rPr>
          <w:rFonts w:ascii="Arial" w:eastAsia="Times New Roman" w:hAnsi="Arial" w:cs="Arial"/>
          <w:color w:val="000000"/>
        </w:rPr>
        <w:t>(4) that provide additional capabilities designed to provide access to emergency services from all connected communications sources and provide multimedia data capabilities for public safety answering points.</w:t>
      </w:r>
    </w:p>
    <w:p w14:paraId="128421C8"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(28) "Next generation 911 demarcation point" means the location and equipment that separates the next generation 911 network from:</w:t>
      </w:r>
    </w:p>
    <w:p w14:paraId="7210B126"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(a) A telecommunications provider's network, known as the ingress next generation 911 demarcation point; and</w:t>
      </w:r>
    </w:p>
    <w:p w14:paraId="0568E130"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A public safety answering point, known as the egress next generation 911 demarcation point.</w:t>
      </w:r>
    </w:p>
    <w:p w14:paraId="2393B4F2"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w:t>
      </w:r>
      <w:r w:rsidRPr="00C61356">
        <w:rPr>
          <w:rFonts w:ascii="Arial" w:eastAsia="Times New Roman" w:hAnsi="Arial" w:cs="Arial"/>
          <w:color w:val="000000"/>
        </w:rPr>
        <w:lastRenderedPageBreak/>
        <w:t>"Next generation 911 emergency communications system" includes future modernizations to the 911 system.</w:t>
      </w:r>
    </w:p>
    <w:p w14:paraId="74917ED4"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14:paraId="0CBB7FD5"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14:paraId="1023C8C0"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(32) "Political subdivision" means any county, city or town.</w:t>
      </w:r>
    </w:p>
    <w:p w14:paraId="47D93455"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(33) "Public agency" means the state, and a city, county, municipal corporation, district, town, or public authority located, in whole or in part, within this state which provides or may provide firefighting, police, ambulance, medical, or other emergency services.</w:t>
      </w:r>
    </w:p>
    <w:p w14:paraId="72B97EC3"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(34) "Public safety answering point" means the public safety location that receives and answers 911 voice and data originating </w:t>
      </w:r>
      <w:proofErr w:type="gramStart"/>
      <w:r w:rsidRPr="00C61356">
        <w:rPr>
          <w:rFonts w:ascii="Arial" w:eastAsia="Times New Roman" w:hAnsi="Arial" w:cs="Arial"/>
          <w:color w:val="000000"/>
        </w:rPr>
        <w:t>in a given</w:t>
      </w:r>
      <w:proofErr w:type="gramEnd"/>
      <w:r w:rsidRPr="00C61356">
        <w:rPr>
          <w:rFonts w:ascii="Arial" w:eastAsia="Times New Roman" w:hAnsi="Arial" w:cs="Arial"/>
          <w:color w:val="000000"/>
        </w:rPr>
        <w:t xml:space="preserve"> area as designated by the county. Public safety answering points must be equipped with 911 hardware, software, and technology that is accessed through 911 and </w:t>
      </w:r>
      <w:proofErr w:type="gramStart"/>
      <w:r w:rsidRPr="00C61356">
        <w:rPr>
          <w:rFonts w:ascii="Arial" w:eastAsia="Times New Roman" w:hAnsi="Arial" w:cs="Arial"/>
          <w:color w:val="000000"/>
        </w:rPr>
        <w:t>is capable of answering</w:t>
      </w:r>
      <w:proofErr w:type="gramEnd"/>
      <w:r w:rsidRPr="00C61356">
        <w:rPr>
          <w:rFonts w:ascii="Arial" w:eastAsia="Times New Roman" w:hAnsi="Arial" w:cs="Arial"/>
          <w:color w:val="000000"/>
        </w:rPr>
        <w:t xml:space="preserve"> incoming 911 calls and receiving and displaying incoming 911 data.</w:t>
      </w:r>
    </w:p>
    <w:p w14:paraId="5140EF88"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(a) "Primary public safety answering point" means a public safety answering point, as designated by the county, to which 911 calls and data originating </w:t>
      </w:r>
      <w:proofErr w:type="gramStart"/>
      <w:r w:rsidRPr="00C61356">
        <w:rPr>
          <w:rFonts w:ascii="Arial" w:eastAsia="Times New Roman" w:hAnsi="Arial" w:cs="Arial"/>
          <w:color w:val="000000"/>
        </w:rPr>
        <w:t>in a given</w:t>
      </w:r>
      <w:proofErr w:type="gramEnd"/>
      <w:r w:rsidRPr="00C61356">
        <w:rPr>
          <w:rFonts w:ascii="Arial" w:eastAsia="Times New Roman" w:hAnsi="Arial" w:cs="Arial"/>
          <w:color w:val="000000"/>
        </w:rPr>
        <w:t xml:space="preserve"> area and entering the next generation 911 network are initially routed for answering.</w:t>
      </w:r>
    </w:p>
    <w:p w14:paraId="43321570"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"Secondary public safety answering point" means a public safety answering point, as designated by the county, that only receives 911 voice and data that has been transferred by other public safety answering points.</w:t>
      </w:r>
    </w:p>
    <w:p w14:paraId="736D4C24"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(35)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w:t>
      </w:r>
      <w:proofErr w:type="spellStart"/>
      <w:r w:rsidRPr="00C61356">
        <w:rPr>
          <w:rFonts w:ascii="Arial" w:eastAsia="Times New Roman" w:hAnsi="Arial" w:cs="Arial"/>
          <w:color w:val="000000"/>
        </w:rPr>
        <w:t>nonfacilities</w:t>
      </w:r>
      <w:proofErr w:type="spellEnd"/>
      <w:r w:rsidRPr="00C61356">
        <w:rPr>
          <w:rFonts w:ascii="Arial" w:eastAsia="Times New Roman" w:hAnsi="Arial" w:cs="Arial"/>
          <w:color w:val="000000"/>
        </w:rPr>
        <w:t>-based resellers, and does not include radio paging providers.</w:t>
      </w:r>
    </w:p>
    <w:p w14:paraId="430EF4D8"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(36) "Search and rescue" </w:t>
      </w:r>
      <w:proofErr w:type="gramStart"/>
      <w:r w:rsidRPr="00C61356">
        <w:rPr>
          <w:rFonts w:ascii="Arial" w:eastAsia="Times New Roman" w:hAnsi="Arial" w:cs="Arial"/>
          <w:color w:val="000000"/>
        </w:rPr>
        <w:t>means</w:t>
      </w:r>
      <w:proofErr w:type="gramEnd"/>
      <w:r w:rsidRPr="00C61356">
        <w:rPr>
          <w:rFonts w:ascii="Arial" w:eastAsia="Times New Roman" w:hAnsi="Arial" w:cs="Arial"/>
          <w:color w:val="000000"/>
        </w:rPr>
        <w:t xml:space="preserve"> the acts of searching for, rescuing, or recovering by means of ground, marine, or air activity any person who becomes lost, injured, or is killed while outdoors or as a result of a natural, technological, or human-caused disaster, including instances involving searches for downed aircraft when ground personnel are used. Nothing in this section shall affect appropriate activity by the department of transportation under chapter </w:t>
      </w:r>
      <w:hyperlink r:id="rId54" w:history="1">
        <w:r w:rsidRPr="00C61356">
          <w:rPr>
            <w:rFonts w:ascii="Arial" w:eastAsia="Times New Roman" w:hAnsi="Arial" w:cs="Arial"/>
            <w:b/>
            <w:bCs/>
            <w:color w:val="2B674D"/>
            <w:u w:val="single"/>
          </w:rPr>
          <w:t>47.68</w:t>
        </w:r>
      </w:hyperlink>
      <w:r w:rsidRPr="00C61356">
        <w:rPr>
          <w:rFonts w:ascii="Arial" w:eastAsia="Times New Roman" w:hAnsi="Arial" w:cs="Arial"/>
          <w:color w:val="000000"/>
        </w:rPr>
        <w:t> RCW.</w:t>
      </w:r>
    </w:p>
    <w:p w14:paraId="2FD3CE5F" w14:textId="77777777" w:rsidR="008C2369" w:rsidRPr="00C61356"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(37) "Telecommunications provider" means a telecommunications company as defined in RCW </w:t>
      </w:r>
      <w:hyperlink r:id="rId55" w:history="1">
        <w:r w:rsidRPr="00C61356">
          <w:rPr>
            <w:rFonts w:ascii="Arial" w:eastAsia="Times New Roman" w:hAnsi="Arial" w:cs="Arial"/>
            <w:b/>
            <w:bCs/>
            <w:color w:val="2B674D"/>
            <w:u w:val="single"/>
          </w:rPr>
          <w:t>80.04.010</w:t>
        </w:r>
      </w:hyperlink>
      <w:r w:rsidRPr="00C61356">
        <w:rPr>
          <w:rFonts w:ascii="Arial" w:eastAsia="Times New Roman" w:hAnsi="Arial" w:cs="Arial"/>
          <w:color w:val="000000"/>
        </w:rPr>
        <w:t>, a radio communications service company as defined in RCW </w:t>
      </w:r>
      <w:hyperlink r:id="rId56" w:history="1">
        <w:r w:rsidRPr="00C61356">
          <w:rPr>
            <w:rFonts w:ascii="Arial" w:eastAsia="Times New Roman" w:hAnsi="Arial" w:cs="Arial"/>
            <w:b/>
            <w:bCs/>
            <w:color w:val="2B674D"/>
            <w:u w:val="single"/>
          </w:rPr>
          <w:t>38.52.010</w:t>
        </w:r>
      </w:hyperlink>
      <w:r w:rsidRPr="00C61356">
        <w:rPr>
          <w:rFonts w:ascii="Arial" w:eastAsia="Times New Roman" w:hAnsi="Arial" w:cs="Arial"/>
          <w:color w:val="000000"/>
        </w:rPr>
        <w:t>, a commercial mobile radio service provider as defined in 47 C.F.R. Sec. 20.3, providers of interconnected voice over internet protocol service as defined in RCW </w:t>
      </w:r>
      <w:hyperlink r:id="rId57" w:history="1">
        <w:r w:rsidRPr="00C61356">
          <w:rPr>
            <w:rFonts w:ascii="Arial" w:eastAsia="Times New Roman" w:hAnsi="Arial" w:cs="Arial"/>
            <w:b/>
            <w:bCs/>
            <w:color w:val="2B674D"/>
            <w:u w:val="single"/>
          </w:rPr>
          <w:t>38.52.010</w:t>
        </w:r>
      </w:hyperlink>
      <w:r w:rsidRPr="00C61356">
        <w:rPr>
          <w:rFonts w:ascii="Arial" w:eastAsia="Times New Roman" w:hAnsi="Arial" w:cs="Arial"/>
          <w:color w:val="000000"/>
        </w:rPr>
        <w:t>, and providers of data services.</w:t>
      </w:r>
    </w:p>
    <w:p w14:paraId="10236477" w14:textId="2D5268A4" w:rsidR="008C2369" w:rsidRPr="008C2369" w:rsidRDefault="008C2369" w:rsidP="008C2369">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(38) "Washington state patrol public safety answering points" means those designated as primary or secondary public safety answering points by the counties in which they provide service.</w:t>
      </w:r>
      <w:bookmarkEnd w:id="5"/>
    </w:p>
    <w:p w14:paraId="160BB635" w14:textId="3B6DFB59" w:rsidR="00935A48" w:rsidRDefault="00935A48" w:rsidP="004835E8">
      <w:pPr>
        <w:pStyle w:val="Heading1"/>
        <w:rPr>
          <w:rFonts w:cs="Arial"/>
          <w:szCs w:val="22"/>
          <w:u w:val="single"/>
        </w:rPr>
      </w:pPr>
      <w:r w:rsidRPr="00FE6771">
        <w:rPr>
          <w:rFonts w:cs="Arial"/>
          <w:szCs w:val="22"/>
          <w:u w:val="single"/>
        </w:rPr>
        <w:lastRenderedPageBreak/>
        <w:t>Item #</w:t>
      </w:r>
      <w:r w:rsidR="004668B3">
        <w:rPr>
          <w:rFonts w:cs="Arial"/>
          <w:szCs w:val="22"/>
          <w:u w:val="single"/>
        </w:rPr>
        <w:t>2</w:t>
      </w:r>
      <w:r w:rsidR="00570A36">
        <w:rPr>
          <w:rFonts w:cs="Arial"/>
          <w:szCs w:val="22"/>
          <w:u w:val="single"/>
        </w:rPr>
        <w:t xml:space="preserve"> </w:t>
      </w:r>
      <w:r w:rsidRPr="00FE6771">
        <w:rPr>
          <w:rFonts w:cs="Arial"/>
          <w:szCs w:val="22"/>
          <w:u w:val="single"/>
        </w:rPr>
        <w:t xml:space="preserve">–Family Members Definition – Cleanup </w:t>
      </w:r>
    </w:p>
    <w:p w14:paraId="220E3C66" w14:textId="77777777" w:rsidR="00FE6771" w:rsidRPr="00FE6771" w:rsidRDefault="00FE6771" w:rsidP="00FE6771">
      <w:pPr>
        <w:spacing w:after="0"/>
      </w:pPr>
    </w:p>
    <w:p w14:paraId="5A59BF22" w14:textId="77777777" w:rsidR="00935A48" w:rsidRPr="00C61356" w:rsidRDefault="00935A48" w:rsidP="00FE6771">
      <w:pPr>
        <w:autoSpaceDE w:val="0"/>
        <w:autoSpaceDN w:val="0"/>
        <w:adjustRightInd w:val="0"/>
        <w:spacing w:after="0" w:line="240" w:lineRule="auto"/>
        <w:rPr>
          <w:rFonts w:ascii="Arial" w:eastAsia="Times New Roman" w:hAnsi="Arial" w:cs="Arial"/>
          <w:color w:val="000000"/>
        </w:rPr>
      </w:pPr>
      <w:r w:rsidRPr="00F66F77">
        <w:rPr>
          <w:rStyle w:val="Heading3Char"/>
          <w:rFonts w:eastAsiaTheme="minorHAnsi" w:cs="Arial"/>
          <w:szCs w:val="22"/>
          <w:u w:val="single"/>
        </w:rPr>
        <w:t>Staff Note:</w:t>
      </w:r>
      <w:r w:rsidRPr="00C61356">
        <w:rPr>
          <w:rFonts w:ascii="Arial" w:eastAsia="Times New Roman" w:hAnsi="Arial" w:cs="Arial"/>
          <w:b/>
          <w:bCs/>
          <w:color w:val="000000"/>
        </w:rPr>
        <w:t xml:space="preserve"> </w:t>
      </w:r>
      <w:r w:rsidRPr="00C61356">
        <w:rPr>
          <w:rFonts w:ascii="Arial" w:eastAsia="Times New Roman" w:hAnsi="Arial" w:cs="Arial"/>
          <w:color w:val="000000"/>
        </w:rPr>
        <w:t>Engrossed Substitute Senate Bill 1320 (</w:t>
      </w:r>
      <w:hyperlink r:id="rId58" w:history="1">
        <w:r w:rsidRPr="00C61356">
          <w:rPr>
            <w:rStyle w:val="Hyperlink"/>
            <w:rFonts w:ascii="Arial" w:eastAsia="Times New Roman" w:hAnsi="Arial" w:cs="Arial"/>
          </w:rPr>
          <w:t>ESSB 1320</w:t>
        </w:r>
      </w:hyperlink>
      <w:r w:rsidRPr="00C61356">
        <w:rPr>
          <w:rStyle w:val="Hyperlink"/>
          <w:rFonts w:ascii="Arial" w:eastAsia="Times New Roman" w:hAnsi="Arial" w:cs="Arial"/>
        </w:rPr>
        <w:t>)</w:t>
      </w:r>
      <w:r w:rsidRPr="00C61356">
        <w:rPr>
          <w:rFonts w:ascii="Arial" w:eastAsia="Times New Roman" w:hAnsi="Arial" w:cs="Arial"/>
          <w:color w:val="000000"/>
        </w:rPr>
        <w:t xml:space="preserve"> passed during the 2021 legislative session, chapter 215, Laws of 2021. The act modernized, harmonized, and improved the efficacy and accessibility of laws concerning civil protection order. In part the act repealed chapter 26.50 RCW, domestic violence prevention, and amended RCW 46.76.020, Domestic Violence Leave, to define dating relationship in accordance with </w:t>
      </w:r>
      <w:hyperlink r:id="rId59" w:history="1">
        <w:r w:rsidRPr="00C61356">
          <w:rPr>
            <w:rStyle w:val="Hyperlink"/>
            <w:rFonts w:ascii="Arial" w:eastAsia="Times New Roman" w:hAnsi="Arial" w:cs="Arial"/>
          </w:rPr>
          <w:t>RCW 7.105.010</w:t>
        </w:r>
      </w:hyperlink>
      <w:r w:rsidRPr="00C61356">
        <w:rPr>
          <w:rFonts w:ascii="Arial" w:eastAsia="Times New Roman" w:hAnsi="Arial" w:cs="Arial"/>
          <w:color w:val="000000"/>
        </w:rPr>
        <w:t>.</w:t>
      </w:r>
    </w:p>
    <w:p w14:paraId="400657D0" w14:textId="77777777" w:rsidR="00935A48" w:rsidRPr="00C61356" w:rsidRDefault="00935A48" w:rsidP="00935A48">
      <w:pPr>
        <w:autoSpaceDE w:val="0"/>
        <w:autoSpaceDN w:val="0"/>
        <w:adjustRightInd w:val="0"/>
        <w:spacing w:after="0" w:line="240" w:lineRule="auto"/>
        <w:rPr>
          <w:rFonts w:ascii="Arial" w:eastAsia="Times New Roman" w:hAnsi="Arial" w:cs="Arial"/>
          <w:color w:val="000000"/>
        </w:rPr>
      </w:pPr>
    </w:p>
    <w:p w14:paraId="4E63A5F2" w14:textId="77777777" w:rsidR="00935A48" w:rsidRPr="00C61356" w:rsidRDefault="00935A48" w:rsidP="00935A48">
      <w:pPr>
        <w:autoSpaceDE w:val="0"/>
        <w:autoSpaceDN w:val="0"/>
        <w:adjustRightInd w:val="0"/>
        <w:spacing w:after="0" w:line="240" w:lineRule="auto"/>
        <w:ind w:left="720"/>
        <w:rPr>
          <w:rFonts w:ascii="Arial" w:eastAsia="Times New Roman" w:hAnsi="Arial" w:cs="Arial"/>
          <w:color w:val="000000"/>
        </w:rPr>
      </w:pPr>
      <w:r w:rsidRPr="00C61356">
        <w:rPr>
          <w:rFonts w:ascii="Arial" w:eastAsia="Times New Roman" w:hAnsi="Arial" w:cs="Arial"/>
          <w:color w:val="000000"/>
        </w:rPr>
        <w:t>Note:  The “dating relationship” definition as previously defined in RCW 26.50.010 is the same as the “dating relationship” definition in RCW 49.76.020.</w:t>
      </w:r>
    </w:p>
    <w:p w14:paraId="5FE21785" w14:textId="77777777" w:rsidR="00935A48" w:rsidRPr="00C61356" w:rsidRDefault="00935A48" w:rsidP="00935A48">
      <w:pPr>
        <w:autoSpaceDE w:val="0"/>
        <w:autoSpaceDN w:val="0"/>
        <w:adjustRightInd w:val="0"/>
        <w:spacing w:after="0" w:line="240" w:lineRule="auto"/>
        <w:rPr>
          <w:rFonts w:ascii="Arial" w:eastAsia="Times New Roman" w:hAnsi="Arial" w:cs="Arial"/>
          <w:color w:val="000000"/>
        </w:rPr>
      </w:pPr>
    </w:p>
    <w:p w14:paraId="7FAD24A7" w14:textId="77777777" w:rsidR="00935A48" w:rsidRDefault="00935A48" w:rsidP="00935A48">
      <w:pPr>
        <w:autoSpaceDE w:val="0"/>
        <w:autoSpaceDN w:val="0"/>
        <w:adjustRightInd w:val="0"/>
        <w:spacing w:after="0" w:line="240" w:lineRule="auto"/>
        <w:rPr>
          <w:rFonts w:ascii="Arial" w:eastAsia="Times New Roman" w:hAnsi="Arial" w:cs="Arial"/>
          <w:color w:val="000000"/>
        </w:rPr>
      </w:pPr>
      <w:r w:rsidRPr="00C61356">
        <w:rPr>
          <w:rFonts w:ascii="Arial" w:eastAsia="Times New Roman" w:hAnsi="Arial" w:cs="Arial"/>
          <w:color w:val="000000"/>
        </w:rPr>
        <w:t xml:space="preserve">We are proposing to amend WAC 357-01-172, Definition Family Member, to replace the reference to RCW 26.50.010 with </w:t>
      </w:r>
      <w:hyperlink r:id="rId60" w:history="1">
        <w:r w:rsidRPr="00C61356">
          <w:rPr>
            <w:rStyle w:val="Hyperlink"/>
            <w:rFonts w:ascii="Arial" w:eastAsia="Times New Roman" w:hAnsi="Arial" w:cs="Arial"/>
          </w:rPr>
          <w:t>RCW 49.76.020</w:t>
        </w:r>
      </w:hyperlink>
      <w:r w:rsidRPr="00C61356">
        <w:rPr>
          <w:rFonts w:ascii="Arial" w:eastAsia="Times New Roman" w:hAnsi="Arial" w:cs="Arial"/>
          <w:color w:val="000000"/>
        </w:rPr>
        <w:t xml:space="preserve">. </w:t>
      </w:r>
    </w:p>
    <w:p w14:paraId="631EAD70" w14:textId="77777777" w:rsidR="00586E1C" w:rsidRDefault="00586E1C" w:rsidP="00935A48">
      <w:pPr>
        <w:autoSpaceDE w:val="0"/>
        <w:autoSpaceDN w:val="0"/>
        <w:adjustRightInd w:val="0"/>
        <w:spacing w:after="0" w:line="240" w:lineRule="auto"/>
        <w:rPr>
          <w:rFonts w:ascii="Arial" w:eastAsia="Times New Roman" w:hAnsi="Arial" w:cs="Arial"/>
          <w:color w:val="000000"/>
        </w:rPr>
      </w:pPr>
    </w:p>
    <w:p w14:paraId="0811F53F" w14:textId="1B967BB7" w:rsidR="00935A48" w:rsidRPr="00C61356" w:rsidRDefault="00870E8F" w:rsidP="00A4205E">
      <w:pPr>
        <w:spacing w:after="0"/>
        <w:rPr>
          <w:rFonts w:ascii="Arial" w:hAnsi="Arial" w:cs="Arial"/>
        </w:rPr>
      </w:pPr>
      <w:r>
        <w:rPr>
          <w:rFonts w:ascii="Arial" w:hAnsi="Arial" w:cs="Arial"/>
        </w:rPr>
        <w:t xml:space="preserve">We are planning to propose permanent adoption at the November 14, 2023, Director’s meeting. </w:t>
      </w:r>
      <w:r w:rsidR="00935A48" w:rsidRPr="00C61356">
        <w:rPr>
          <w:rFonts w:ascii="Arial" w:hAnsi="Arial" w:cs="Arial"/>
        </w:rPr>
        <w:t xml:space="preserve">Lead: Patricia Foshaug </w:t>
      </w:r>
    </w:p>
    <w:p w14:paraId="55430126" w14:textId="77777777" w:rsidR="00A4205E" w:rsidRDefault="00A4205E" w:rsidP="00A4205E">
      <w:pPr>
        <w:spacing w:after="0"/>
        <w:rPr>
          <w:rFonts w:ascii="Arial" w:hAnsi="Arial" w:cs="Arial"/>
          <w:b/>
          <w:bCs/>
          <w:u w:val="single"/>
        </w:rPr>
      </w:pPr>
    </w:p>
    <w:p w14:paraId="4B0C3CCC" w14:textId="77777777" w:rsidR="00F66F77" w:rsidRPr="00C61356" w:rsidRDefault="00F66F77" w:rsidP="00A4205E">
      <w:pPr>
        <w:spacing w:after="0"/>
        <w:rPr>
          <w:rFonts w:ascii="Arial" w:hAnsi="Arial" w:cs="Arial"/>
          <w:b/>
          <w:bCs/>
          <w:u w:val="single"/>
        </w:rPr>
      </w:pPr>
    </w:p>
    <w:p w14:paraId="5FB6E60F" w14:textId="77777777" w:rsidR="006B6441" w:rsidRPr="00C61356" w:rsidRDefault="006B6441" w:rsidP="006B6441">
      <w:pPr>
        <w:rPr>
          <w:rFonts w:ascii="Arial" w:hAnsi="Arial" w:cs="Arial"/>
        </w:rPr>
      </w:pPr>
      <w:r w:rsidRPr="00C61356">
        <w:rPr>
          <w:rFonts w:ascii="Arial" w:hAnsi="Arial" w:cs="Arial"/>
          <w:u w:val="single"/>
        </w:rPr>
        <w:t>AMENDATORY SECTION</w:t>
      </w:r>
    </w:p>
    <w:p w14:paraId="77BADC25" w14:textId="77777777" w:rsidR="006B6441" w:rsidRPr="00C61356" w:rsidRDefault="006B6441" w:rsidP="006B6441">
      <w:pPr>
        <w:rPr>
          <w:rFonts w:ascii="Arial" w:hAnsi="Arial" w:cs="Arial"/>
        </w:rPr>
      </w:pPr>
      <w:r w:rsidRPr="00C61356">
        <w:rPr>
          <w:rFonts w:ascii="Arial" w:hAnsi="Arial" w:cs="Arial"/>
          <w:b/>
        </w:rPr>
        <w:t>WAC 357-01-</w:t>
      </w:r>
      <w:proofErr w:type="gramStart"/>
      <w:r w:rsidRPr="00C61356">
        <w:rPr>
          <w:rFonts w:ascii="Arial" w:hAnsi="Arial" w:cs="Arial"/>
          <w:b/>
        </w:rPr>
        <w:t>172</w:t>
      </w:r>
      <w:r w:rsidRPr="00C61356">
        <w:rPr>
          <w:rFonts w:ascii="Arial" w:hAnsi="Arial" w:cs="Arial"/>
        </w:rPr>
        <w:t xml:space="preserve">  </w:t>
      </w:r>
      <w:r w:rsidRPr="00C61356">
        <w:rPr>
          <w:rFonts w:ascii="Arial" w:hAnsi="Arial" w:cs="Arial"/>
          <w:b/>
        </w:rPr>
        <w:t>Family</w:t>
      </w:r>
      <w:proofErr w:type="gramEnd"/>
      <w:r w:rsidRPr="00C61356">
        <w:rPr>
          <w:rFonts w:ascii="Arial" w:hAnsi="Arial" w:cs="Arial"/>
          <w:b/>
        </w:rPr>
        <w:t xml:space="preserve"> members.</w:t>
      </w:r>
      <w:r w:rsidRPr="00C61356">
        <w:rPr>
          <w:rFonts w:ascii="Arial" w:hAnsi="Arial" w:cs="Arial"/>
        </w:rPr>
        <w:t xml:space="preserve">  </w:t>
      </w:r>
    </w:p>
    <w:p w14:paraId="3B83F723" w14:textId="0CC4948B" w:rsidR="006B6441" w:rsidRPr="00C61356" w:rsidRDefault="006B6441" w:rsidP="008817CE">
      <w:pPr>
        <w:rPr>
          <w:rFonts w:ascii="Arial" w:hAnsi="Arial" w:cs="Arial"/>
        </w:rPr>
      </w:pPr>
      <w:r w:rsidRPr="00C61356">
        <w:rPr>
          <w:rFonts w:ascii="Arial" w:hAnsi="Arial" w:cs="Arial"/>
        </w:rPr>
        <w:t>Individuals considered to be members of the family are parent, sibling, parent-in-law, spouse, registered domestic partner, grandparent, grandchild, minor/dependent child, and child. For the purpose of domestic violence, sexual assault, or stalking provisions within Title 357 WAC family member also includes a domestic partner as defined in RCW 26.60.020 or a person with whom the employee has a dating relationship as defined in RCW ((</w:t>
      </w:r>
      <w:r w:rsidRPr="00C61356">
        <w:rPr>
          <w:rFonts w:ascii="Arial" w:hAnsi="Arial" w:cs="Arial"/>
          <w:strike/>
        </w:rPr>
        <w:t>26.50.010</w:t>
      </w:r>
      <w:r w:rsidRPr="00C61356">
        <w:rPr>
          <w:rFonts w:ascii="Arial" w:hAnsi="Arial" w:cs="Arial"/>
        </w:rPr>
        <w:t xml:space="preserve">)) </w:t>
      </w:r>
      <w:r w:rsidRPr="00C61356">
        <w:rPr>
          <w:rFonts w:ascii="Arial" w:hAnsi="Arial" w:cs="Arial"/>
          <w:u w:val="single"/>
        </w:rPr>
        <w:t>49.76.020</w:t>
      </w:r>
      <w:r w:rsidRPr="00C61356">
        <w:rPr>
          <w:rFonts w:ascii="Arial" w:hAnsi="Arial" w:cs="Arial"/>
        </w:rPr>
        <w:t>.</w:t>
      </w:r>
    </w:p>
    <w:p w14:paraId="540D0C66" w14:textId="77777777" w:rsidR="00935A48" w:rsidRPr="00C61356" w:rsidRDefault="00935A48" w:rsidP="00A4205E">
      <w:pPr>
        <w:spacing w:after="0" w:line="240" w:lineRule="auto"/>
        <w:rPr>
          <w:rFonts w:ascii="Arial" w:hAnsi="Arial" w:cs="Arial"/>
          <w:b/>
          <w:bCs/>
        </w:rPr>
      </w:pPr>
    </w:p>
    <w:p w14:paraId="31BB38AE" w14:textId="77777777" w:rsidR="00C61356" w:rsidRPr="0019108A" w:rsidRDefault="00C61356" w:rsidP="00C61356">
      <w:pPr>
        <w:spacing w:after="0"/>
        <w:rPr>
          <w:rFonts w:ascii="Arial" w:hAnsi="Arial" w:cs="Arial"/>
          <w:b/>
          <w:bCs/>
          <w:u w:val="single"/>
        </w:rPr>
      </w:pPr>
      <w:r w:rsidRPr="0019108A">
        <w:rPr>
          <w:rFonts w:ascii="Arial" w:hAnsi="Arial" w:cs="Arial"/>
          <w:b/>
          <w:bCs/>
          <w:u w:val="single"/>
        </w:rPr>
        <w:t>REFERENCE ONLY</w:t>
      </w:r>
    </w:p>
    <w:p w14:paraId="6CD1FC73" w14:textId="77777777" w:rsidR="00935A48" w:rsidRPr="00057D06" w:rsidRDefault="00935A48" w:rsidP="00C61356">
      <w:pPr>
        <w:spacing w:after="0"/>
        <w:rPr>
          <w:rFonts w:ascii="Arial" w:hAnsi="Arial" w:cs="Arial"/>
          <w:b/>
          <w:bCs/>
          <w:color w:val="000000"/>
        </w:rPr>
      </w:pPr>
      <w:r w:rsidRPr="00057D06">
        <w:rPr>
          <w:rFonts w:ascii="Arial" w:hAnsi="Arial" w:cs="Arial"/>
          <w:b/>
          <w:bCs/>
          <w:color w:val="000000"/>
        </w:rPr>
        <w:t>RCW </w:t>
      </w:r>
      <w:hyperlink r:id="rId61" w:history="1">
        <w:r w:rsidRPr="00057D06">
          <w:rPr>
            <w:rStyle w:val="Hyperlink"/>
            <w:rFonts w:ascii="Arial" w:hAnsi="Arial" w:cs="Arial"/>
            <w:b/>
            <w:bCs/>
            <w:color w:val="2B674D"/>
            <w:u w:val="none"/>
          </w:rPr>
          <w:t>49.76.020</w:t>
        </w:r>
      </w:hyperlink>
      <w:r w:rsidRPr="00057D06">
        <w:rPr>
          <w:rFonts w:ascii="Arial" w:hAnsi="Arial" w:cs="Arial"/>
          <w:b/>
          <w:bCs/>
          <w:color w:val="000000"/>
        </w:rPr>
        <w:t xml:space="preserve"> Definitions.</w:t>
      </w:r>
    </w:p>
    <w:p w14:paraId="6C622ACB" w14:textId="77777777" w:rsidR="00935A48" w:rsidRPr="00C61356" w:rsidRDefault="00935A48" w:rsidP="00935A48">
      <w:pPr>
        <w:shd w:val="clear" w:color="auto" w:fill="FFFFFF"/>
        <w:spacing w:after="0" w:line="240" w:lineRule="auto"/>
        <w:rPr>
          <w:rFonts w:ascii="Arial" w:hAnsi="Arial" w:cs="Arial"/>
          <w:color w:val="000000"/>
        </w:rPr>
      </w:pPr>
      <w:r w:rsidRPr="00C61356">
        <w:rPr>
          <w:rFonts w:ascii="Arial" w:hAnsi="Arial" w:cs="Arial"/>
          <w:color w:val="000000"/>
        </w:rPr>
        <w:t>The definitions in this section apply throughout this chapter unless the context clearly requires otherwise.</w:t>
      </w:r>
    </w:p>
    <w:p w14:paraId="0D10B046" w14:textId="77777777" w:rsidR="00935A48" w:rsidRPr="00C61356" w:rsidRDefault="00935A48" w:rsidP="00935A48">
      <w:pPr>
        <w:shd w:val="clear" w:color="auto" w:fill="FFFFFF"/>
        <w:spacing w:after="0" w:line="240" w:lineRule="auto"/>
        <w:ind w:firstLine="720"/>
        <w:rPr>
          <w:rFonts w:ascii="Arial" w:hAnsi="Arial" w:cs="Arial"/>
          <w:color w:val="000000"/>
        </w:rPr>
      </w:pPr>
      <w:r w:rsidRPr="00C61356">
        <w:rPr>
          <w:rFonts w:ascii="Arial" w:hAnsi="Arial" w:cs="Arial"/>
          <w:color w:val="000000"/>
        </w:rPr>
        <w:t>(1) "Child," "spouse," "parent," "parent-in-law," "grandparent," and "sick leave and other paid time off" have the same meanings as in RCW </w:t>
      </w:r>
      <w:hyperlink r:id="rId62" w:history="1">
        <w:r w:rsidRPr="00C61356">
          <w:rPr>
            <w:rStyle w:val="Hyperlink"/>
            <w:rFonts w:ascii="Arial" w:hAnsi="Arial" w:cs="Arial"/>
            <w:b/>
            <w:bCs/>
            <w:color w:val="2B674D"/>
          </w:rPr>
          <w:t>49.12.265</w:t>
        </w:r>
      </w:hyperlink>
      <w:r w:rsidRPr="00C61356">
        <w:rPr>
          <w:rFonts w:ascii="Arial" w:hAnsi="Arial" w:cs="Arial"/>
          <w:color w:val="000000"/>
        </w:rPr>
        <w:t>.</w:t>
      </w:r>
    </w:p>
    <w:p w14:paraId="54473117" w14:textId="77777777" w:rsidR="00935A48" w:rsidRPr="00C61356" w:rsidRDefault="00935A48" w:rsidP="00935A48">
      <w:pPr>
        <w:shd w:val="clear" w:color="auto" w:fill="FFFFFF"/>
        <w:spacing w:after="0" w:line="240" w:lineRule="auto"/>
        <w:ind w:firstLine="720"/>
        <w:rPr>
          <w:rFonts w:ascii="Arial" w:hAnsi="Arial" w:cs="Arial"/>
          <w:color w:val="000000"/>
        </w:rPr>
      </w:pPr>
      <w:r w:rsidRPr="00C61356">
        <w:rPr>
          <w:rFonts w:ascii="Arial" w:hAnsi="Arial" w:cs="Arial"/>
          <w:color w:val="000000"/>
          <w:highlight w:val="yellow"/>
        </w:rPr>
        <w:t>(2) "Dating relationship" has the same meaning as in RCW </w:t>
      </w:r>
      <w:hyperlink r:id="rId63" w:history="1">
        <w:r w:rsidRPr="00C61356">
          <w:rPr>
            <w:rStyle w:val="Hyperlink"/>
            <w:rFonts w:ascii="Arial" w:hAnsi="Arial" w:cs="Arial"/>
            <w:b/>
            <w:bCs/>
            <w:color w:val="2B674D"/>
            <w:highlight w:val="yellow"/>
          </w:rPr>
          <w:t>7.105.010</w:t>
        </w:r>
      </w:hyperlink>
      <w:r w:rsidRPr="00C61356">
        <w:rPr>
          <w:rFonts w:ascii="Arial" w:hAnsi="Arial" w:cs="Arial"/>
          <w:color w:val="000000"/>
          <w:highlight w:val="yellow"/>
        </w:rPr>
        <w:t>.</w:t>
      </w:r>
    </w:p>
    <w:p w14:paraId="4A331A05" w14:textId="77777777" w:rsidR="00935A48" w:rsidRPr="00C61356" w:rsidRDefault="00935A48" w:rsidP="00935A48">
      <w:pPr>
        <w:shd w:val="clear" w:color="auto" w:fill="FFFFFF"/>
        <w:spacing w:after="0" w:line="240" w:lineRule="auto"/>
        <w:ind w:firstLine="720"/>
        <w:rPr>
          <w:rFonts w:ascii="Arial" w:hAnsi="Arial" w:cs="Arial"/>
          <w:color w:val="000000"/>
        </w:rPr>
      </w:pPr>
      <w:r w:rsidRPr="00C61356">
        <w:rPr>
          <w:rFonts w:ascii="Arial" w:hAnsi="Arial" w:cs="Arial"/>
          <w:color w:val="000000"/>
        </w:rPr>
        <w:t>(3) "Department," "director," "employer," and "employee" have the same meanings as in RCW </w:t>
      </w:r>
      <w:hyperlink r:id="rId64" w:history="1">
        <w:r w:rsidRPr="00C61356">
          <w:rPr>
            <w:rStyle w:val="Hyperlink"/>
            <w:rFonts w:ascii="Arial" w:hAnsi="Arial" w:cs="Arial"/>
            <w:b/>
            <w:bCs/>
            <w:color w:val="2B674D"/>
          </w:rPr>
          <w:t>49.12.005</w:t>
        </w:r>
      </w:hyperlink>
      <w:r w:rsidRPr="00C61356">
        <w:rPr>
          <w:rFonts w:ascii="Arial" w:hAnsi="Arial" w:cs="Arial"/>
          <w:color w:val="000000"/>
        </w:rPr>
        <w:t>.</w:t>
      </w:r>
    </w:p>
    <w:p w14:paraId="257A036A" w14:textId="77777777" w:rsidR="00935A48" w:rsidRPr="00C61356" w:rsidRDefault="00935A48" w:rsidP="00935A48">
      <w:pPr>
        <w:shd w:val="clear" w:color="auto" w:fill="FFFFFF"/>
        <w:spacing w:after="0" w:line="240" w:lineRule="auto"/>
        <w:ind w:firstLine="720"/>
        <w:rPr>
          <w:rFonts w:ascii="Arial" w:hAnsi="Arial" w:cs="Arial"/>
          <w:color w:val="000000"/>
        </w:rPr>
      </w:pPr>
      <w:r w:rsidRPr="00C61356">
        <w:rPr>
          <w:rFonts w:ascii="Arial" w:hAnsi="Arial" w:cs="Arial"/>
          <w:color w:val="000000"/>
        </w:rPr>
        <w:t>(4) "Domestic violence" has the same meaning as in RCW </w:t>
      </w:r>
      <w:hyperlink r:id="rId65" w:history="1">
        <w:r w:rsidRPr="00C61356">
          <w:rPr>
            <w:rStyle w:val="Hyperlink"/>
            <w:rFonts w:ascii="Arial" w:hAnsi="Arial" w:cs="Arial"/>
            <w:b/>
            <w:bCs/>
            <w:color w:val="2B674D"/>
          </w:rPr>
          <w:t>7.105.010</w:t>
        </w:r>
      </w:hyperlink>
      <w:r w:rsidRPr="00C61356">
        <w:rPr>
          <w:rFonts w:ascii="Arial" w:hAnsi="Arial" w:cs="Arial"/>
          <w:color w:val="000000"/>
        </w:rPr>
        <w:t>.</w:t>
      </w:r>
    </w:p>
    <w:p w14:paraId="54E1CBEE" w14:textId="77777777" w:rsidR="00935A48" w:rsidRPr="00C61356" w:rsidRDefault="00935A48" w:rsidP="00935A48">
      <w:pPr>
        <w:shd w:val="clear" w:color="auto" w:fill="FFFFFF"/>
        <w:spacing w:after="0" w:line="240" w:lineRule="auto"/>
        <w:ind w:firstLine="720"/>
        <w:rPr>
          <w:rFonts w:ascii="Arial" w:hAnsi="Arial" w:cs="Arial"/>
          <w:color w:val="000000"/>
        </w:rPr>
      </w:pPr>
      <w:r w:rsidRPr="00C61356">
        <w:rPr>
          <w:rFonts w:ascii="Arial" w:hAnsi="Arial" w:cs="Arial"/>
          <w:color w:val="000000"/>
        </w:rPr>
        <w:t>(5) "Family member" means any individual whose relationship to the employee can be classified as a child, spouse, parent, parent-in-law, grandparent, or person with whom the employee has a dating relationship.</w:t>
      </w:r>
    </w:p>
    <w:p w14:paraId="75593BCE" w14:textId="77777777" w:rsidR="00935A48" w:rsidRPr="00C61356" w:rsidRDefault="00935A48" w:rsidP="00935A48">
      <w:pPr>
        <w:shd w:val="clear" w:color="auto" w:fill="FFFFFF"/>
        <w:spacing w:after="0" w:line="240" w:lineRule="auto"/>
        <w:ind w:firstLine="720"/>
        <w:rPr>
          <w:rFonts w:ascii="Arial" w:hAnsi="Arial" w:cs="Arial"/>
          <w:color w:val="000000"/>
        </w:rPr>
      </w:pPr>
      <w:r w:rsidRPr="00C61356">
        <w:rPr>
          <w:rFonts w:ascii="Arial" w:hAnsi="Arial" w:cs="Arial"/>
          <w:color w:val="000000"/>
        </w:rPr>
        <w:t>(6) "Intermittent leave" is leave taken in separate blocks of time due to a single qualifying reason.</w:t>
      </w:r>
    </w:p>
    <w:p w14:paraId="7B583F93" w14:textId="77777777" w:rsidR="00935A48" w:rsidRPr="00C61356" w:rsidRDefault="00935A48" w:rsidP="00935A48">
      <w:pPr>
        <w:shd w:val="clear" w:color="auto" w:fill="FFFFFF"/>
        <w:spacing w:after="0" w:line="240" w:lineRule="auto"/>
        <w:ind w:firstLine="720"/>
        <w:rPr>
          <w:rFonts w:ascii="Arial" w:hAnsi="Arial" w:cs="Arial"/>
          <w:color w:val="000000"/>
        </w:rPr>
      </w:pPr>
      <w:r w:rsidRPr="00C61356">
        <w:rPr>
          <w:rFonts w:ascii="Arial" w:hAnsi="Arial" w:cs="Arial"/>
          <w:color w:val="000000"/>
        </w:rPr>
        <w:t>(7) "Reduced leave schedule" means a leave schedule that reduces the usual number of hours per workweek, or hours per workday, of an employee.</w:t>
      </w:r>
    </w:p>
    <w:p w14:paraId="038BE06B" w14:textId="77777777" w:rsidR="00935A48" w:rsidRPr="00C61356" w:rsidRDefault="00935A48" w:rsidP="00935A48">
      <w:pPr>
        <w:shd w:val="clear" w:color="auto" w:fill="FFFFFF"/>
        <w:spacing w:after="0" w:line="240" w:lineRule="auto"/>
        <w:ind w:firstLine="720"/>
        <w:rPr>
          <w:rFonts w:ascii="Arial" w:hAnsi="Arial" w:cs="Arial"/>
          <w:color w:val="000000"/>
        </w:rPr>
      </w:pPr>
      <w:r w:rsidRPr="00C61356">
        <w:rPr>
          <w:rFonts w:ascii="Arial" w:hAnsi="Arial" w:cs="Arial"/>
          <w:color w:val="000000"/>
        </w:rPr>
        <w:t>(8) "Sexual assault" has the same meaning as in RCW </w:t>
      </w:r>
      <w:hyperlink r:id="rId66" w:history="1">
        <w:r w:rsidRPr="00C61356">
          <w:rPr>
            <w:rStyle w:val="Hyperlink"/>
            <w:rFonts w:ascii="Arial" w:hAnsi="Arial" w:cs="Arial"/>
            <w:b/>
            <w:bCs/>
            <w:color w:val="2B674D"/>
          </w:rPr>
          <w:t>70.125.030</w:t>
        </w:r>
      </w:hyperlink>
      <w:r w:rsidRPr="00C61356">
        <w:rPr>
          <w:rFonts w:ascii="Arial" w:hAnsi="Arial" w:cs="Arial"/>
          <w:color w:val="000000"/>
        </w:rPr>
        <w:t>.</w:t>
      </w:r>
    </w:p>
    <w:p w14:paraId="282D1FA5" w14:textId="77777777" w:rsidR="00935A48" w:rsidRPr="00C61356" w:rsidRDefault="00935A48" w:rsidP="00935A48">
      <w:pPr>
        <w:shd w:val="clear" w:color="auto" w:fill="FFFFFF"/>
        <w:spacing w:after="0" w:line="240" w:lineRule="auto"/>
        <w:ind w:firstLine="720"/>
        <w:rPr>
          <w:rFonts w:ascii="Arial" w:hAnsi="Arial" w:cs="Arial"/>
          <w:color w:val="000000"/>
        </w:rPr>
      </w:pPr>
      <w:r w:rsidRPr="00C61356">
        <w:rPr>
          <w:rFonts w:ascii="Arial" w:hAnsi="Arial" w:cs="Arial"/>
          <w:color w:val="000000"/>
        </w:rPr>
        <w:t>(9) "Stalking" has the same meaning as in RCW </w:t>
      </w:r>
      <w:hyperlink r:id="rId67" w:history="1">
        <w:r w:rsidRPr="00C61356">
          <w:rPr>
            <w:rStyle w:val="Hyperlink"/>
            <w:rFonts w:ascii="Arial" w:hAnsi="Arial" w:cs="Arial"/>
            <w:b/>
            <w:bCs/>
            <w:color w:val="2B674D"/>
          </w:rPr>
          <w:t>9A.46.110</w:t>
        </w:r>
      </w:hyperlink>
      <w:r w:rsidRPr="00C61356">
        <w:rPr>
          <w:rFonts w:ascii="Arial" w:hAnsi="Arial" w:cs="Arial"/>
          <w:color w:val="000000"/>
        </w:rPr>
        <w:t>.</w:t>
      </w:r>
    </w:p>
    <w:p w14:paraId="6623CE50" w14:textId="77777777" w:rsidR="00935A48" w:rsidRPr="00C61356" w:rsidRDefault="00935A48" w:rsidP="00A4205E">
      <w:pPr>
        <w:spacing w:after="0"/>
        <w:rPr>
          <w:rFonts w:ascii="Arial" w:hAnsi="Arial" w:cs="Arial"/>
        </w:rPr>
      </w:pPr>
    </w:p>
    <w:p w14:paraId="06AEB6F2" w14:textId="77777777" w:rsidR="00935A48" w:rsidRPr="00057D06" w:rsidRDefault="00935A48" w:rsidP="004835E8">
      <w:pPr>
        <w:rPr>
          <w:rFonts w:ascii="Arial" w:hAnsi="Arial" w:cs="Arial"/>
          <w:b/>
          <w:bCs/>
          <w:color w:val="000000"/>
        </w:rPr>
      </w:pPr>
      <w:r w:rsidRPr="00057D06">
        <w:rPr>
          <w:rFonts w:ascii="Arial" w:hAnsi="Arial" w:cs="Arial"/>
          <w:b/>
          <w:bCs/>
          <w:color w:val="000000"/>
        </w:rPr>
        <w:t>RCW </w:t>
      </w:r>
      <w:hyperlink r:id="rId68" w:history="1">
        <w:r w:rsidRPr="00057D06">
          <w:rPr>
            <w:rFonts w:ascii="Arial" w:hAnsi="Arial" w:cs="Arial"/>
            <w:b/>
            <w:bCs/>
            <w:color w:val="000000"/>
          </w:rPr>
          <w:t>7.105.010</w:t>
        </w:r>
      </w:hyperlink>
      <w:r w:rsidRPr="00057D06">
        <w:rPr>
          <w:rFonts w:ascii="Arial" w:hAnsi="Arial" w:cs="Arial"/>
          <w:b/>
          <w:bCs/>
          <w:color w:val="000000"/>
        </w:rPr>
        <w:t xml:space="preserve"> Definitions.</w:t>
      </w:r>
    </w:p>
    <w:p w14:paraId="77AD1A42" w14:textId="77777777" w:rsidR="00935A48" w:rsidRPr="00C61356" w:rsidRDefault="00935A48" w:rsidP="00A4205E">
      <w:pPr>
        <w:spacing w:after="0" w:line="240" w:lineRule="auto"/>
        <w:ind w:firstLine="720"/>
        <w:rPr>
          <w:rFonts w:ascii="Arial" w:hAnsi="Arial" w:cs="Arial"/>
          <w:color w:val="000000"/>
        </w:rPr>
      </w:pPr>
      <w:r w:rsidRPr="00C61356">
        <w:rPr>
          <w:rFonts w:ascii="Arial" w:hAnsi="Arial" w:cs="Arial"/>
          <w:color w:val="000000"/>
        </w:rPr>
        <w:lastRenderedPageBreak/>
        <w:t>The definitions in this section apply throughout this chapter unless the context clearly requires otherwise.</w:t>
      </w:r>
    </w:p>
    <w:p w14:paraId="46D54698"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(1) "Abandonment" means action or inaction by a person or entity with a duty of care for a vulnerable adult that leaves the vulnerable adult without the means or ability to obtain necessary food, clothing, shelter, or health care.</w:t>
      </w:r>
    </w:p>
    <w:p w14:paraId="7F020F5B"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14:paraId="0D14039B"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w:t>
      </w:r>
      <w:hyperlink r:id="rId69" w:history="1">
        <w:r w:rsidRPr="00C61356">
          <w:rPr>
            <w:rStyle w:val="Hyperlink"/>
            <w:rFonts w:ascii="Arial" w:hAnsi="Arial" w:cs="Arial"/>
            <w:b/>
            <w:bCs/>
            <w:color w:val="2B674D"/>
          </w:rPr>
          <w:t>71A.12</w:t>
        </w:r>
      </w:hyperlink>
      <w:r w:rsidRPr="00C61356">
        <w:rPr>
          <w:rFonts w:ascii="Arial" w:hAnsi="Arial" w:cs="Arial"/>
          <w:color w:val="000000"/>
        </w:rPr>
        <w:t> RCW; (ii) is not medically authorized; or (iii) otherwise constitutes abuse under this section.</w:t>
      </w:r>
    </w:p>
    <w:p w14:paraId="53DB1A5D"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14:paraId="178F3F73"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 xml:space="preserve">(c) "Personal exploitation" means an act of forcing, compelling, or exerting undue influence over a vulnerable adult causing the vulnerable adult to act in a way that is inconsistent with relevant past </w:t>
      </w:r>
      <w:proofErr w:type="gramStart"/>
      <w:r w:rsidRPr="00C61356">
        <w:rPr>
          <w:rFonts w:ascii="Arial" w:hAnsi="Arial" w:cs="Arial"/>
          <w:color w:val="000000"/>
        </w:rPr>
        <w:t>behavior, or</w:t>
      </w:r>
      <w:proofErr w:type="gramEnd"/>
      <w:r w:rsidRPr="00C61356">
        <w:rPr>
          <w:rFonts w:ascii="Arial" w:hAnsi="Arial" w:cs="Arial"/>
          <w:color w:val="000000"/>
        </w:rPr>
        <w:t xml:space="preserve"> causing the vulnerable adult to perform services for the benefit of another.</w:t>
      </w:r>
    </w:p>
    <w:p w14:paraId="6D81D433"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14:paraId="28B695ED"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w:t>
      </w:r>
      <w:hyperlink r:id="rId70" w:history="1">
        <w:r w:rsidRPr="00C61356">
          <w:rPr>
            <w:rStyle w:val="Hyperlink"/>
            <w:rFonts w:ascii="Arial" w:hAnsi="Arial" w:cs="Arial"/>
            <w:b/>
            <w:bCs/>
            <w:color w:val="2B674D"/>
          </w:rPr>
          <w:t>71A.12</w:t>
        </w:r>
      </w:hyperlink>
      <w:r w:rsidRPr="00C61356">
        <w:rPr>
          <w:rFonts w:ascii="Arial" w:hAnsi="Arial" w:cs="Arial"/>
          <w:color w:val="000000"/>
        </w:rPr>
        <w:t> RCW, and a vulnerable adult living in that facility or receiving service from a program authorized under chapter </w:t>
      </w:r>
      <w:hyperlink r:id="rId71" w:history="1">
        <w:r w:rsidRPr="00C61356">
          <w:rPr>
            <w:rStyle w:val="Hyperlink"/>
            <w:rFonts w:ascii="Arial" w:hAnsi="Arial" w:cs="Arial"/>
            <w:b/>
            <w:bCs/>
            <w:color w:val="2B674D"/>
          </w:rPr>
          <w:t>71A.12</w:t>
        </w:r>
      </w:hyperlink>
      <w:r w:rsidRPr="00C61356">
        <w:rPr>
          <w:rFonts w:ascii="Arial" w:hAnsi="Arial" w:cs="Arial"/>
          <w:color w:val="000000"/>
        </w:rPr>
        <w:t> RCW, whether or not the sexual conduct is consensual.</w:t>
      </w:r>
    </w:p>
    <w:p w14:paraId="7FA26010"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14:paraId="134C4425"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(4)(a) "Coercive control" means a pattern 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 Examples of coercive control include, but are not limited to, engaging in any of the following:</w:t>
      </w:r>
    </w:p>
    <w:p w14:paraId="6FDEFC81"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(i) Intimidation or controlling or compelling conduct by:</w:t>
      </w:r>
    </w:p>
    <w:p w14:paraId="5889E27D"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(A) Damaging, destroying, or threatening to damage or destroy, or forcing the other party to relinquish, goods, property, or items of special value;</w:t>
      </w:r>
    </w:p>
    <w:p w14:paraId="3CC2B88A"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 xml:space="preserve">(B) Using technology to threaten, humiliate, harass, stalk, intimidate, exert undue influence over, or abuse the other party, including by engaging in cyberstalking, monitoring, </w:t>
      </w:r>
      <w:r w:rsidRPr="00C61356">
        <w:rPr>
          <w:rFonts w:ascii="Arial" w:hAnsi="Arial" w:cs="Arial"/>
          <w:color w:val="000000"/>
        </w:rPr>
        <w:lastRenderedPageBreak/>
        <w:t>surveillance, impersonation, manipulation of electronic media, or distribution of or threats to distribute actual or fabricated intimate images;</w:t>
      </w:r>
    </w:p>
    <w:p w14:paraId="152E6BE3"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(C) Carrying, exhibiting, displaying, drawing, or threatening to use, any firearm or any other weapon apparently capable of producing bodily harm, in a manner, under circumstances, and at a time and place that either manifests an intent to intimidate the other party or that warrants alarm by the other party for their safety or the safety of other persons;</w:t>
      </w:r>
    </w:p>
    <w:p w14:paraId="30EDB091"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(D) Driving recklessly with the other party or minor children in the vehicle;</w:t>
      </w:r>
    </w:p>
    <w:p w14:paraId="299B80FF"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(E) Communicating, directly or indirectly, the intent to:</w:t>
      </w:r>
    </w:p>
    <w:p w14:paraId="4DB073B4"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(I) Harm the other party's children, family members, friends, or pets, including by use of physical forms of violence;</w:t>
      </w:r>
    </w:p>
    <w:p w14:paraId="05539BA8"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(II) Harm the other party's career;</w:t>
      </w:r>
    </w:p>
    <w:p w14:paraId="738738A5"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(III) Attempt suicide or other acts of self-harm; or</w:t>
      </w:r>
    </w:p>
    <w:p w14:paraId="2595101F"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(IV) Contact local or federal agencies based on actual or suspected immigration status;</w:t>
      </w:r>
    </w:p>
    <w:p w14:paraId="62984A9A"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(F) Exerting control over the other party's identity documents;</w:t>
      </w:r>
    </w:p>
    <w:p w14:paraId="0772F1E1"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(G) Making, or threatening to make, private information public, including the other party's sexual orientation or gender identity, medical or behavioral health information, or other confidential information that jeopardizes safety; or</w:t>
      </w:r>
    </w:p>
    <w:p w14:paraId="5FB608D9"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(H) Engaging in sexual or reproductive coercion;</w:t>
      </w:r>
    </w:p>
    <w:p w14:paraId="657E4AF1"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(ii) Causing dependence, confinement, or isolation of the other party from friends, relatives, or other sources of support, including schooling and employment, or subjecting the other party to physical confinement or restraint;</w:t>
      </w:r>
    </w:p>
    <w:p w14:paraId="390DDEC9"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 xml:space="preserve">(iii) Depriving the other party of basic necessities or committing other forms of financial </w:t>
      </w:r>
      <w:proofErr w:type="gramStart"/>
      <w:r w:rsidRPr="00C61356">
        <w:rPr>
          <w:rFonts w:ascii="Arial" w:hAnsi="Arial" w:cs="Arial"/>
          <w:color w:val="000000"/>
        </w:rPr>
        <w:t>exploitation;</w:t>
      </w:r>
      <w:proofErr w:type="gramEnd"/>
    </w:p>
    <w:p w14:paraId="642899B0"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w:t>
      </w:r>
      <w:proofErr w:type="gramStart"/>
      <w:r w:rsidRPr="00C61356">
        <w:rPr>
          <w:rFonts w:ascii="Arial" w:hAnsi="Arial" w:cs="Arial"/>
          <w:color w:val="000000"/>
        </w:rPr>
        <w:t>child care</w:t>
      </w:r>
      <w:proofErr w:type="gramEnd"/>
      <w:r w:rsidRPr="00C61356">
        <w:rPr>
          <w:rFonts w:ascii="Arial" w:hAnsi="Arial" w:cs="Arial"/>
          <w:color w:val="000000"/>
        </w:rPr>
        <w:t>, or school-based extracurricular activities;</w:t>
      </w:r>
    </w:p>
    <w:p w14:paraId="049CD885"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(v) Engaging in vexatious litigation or abusive litigation as defined in RCW </w:t>
      </w:r>
      <w:hyperlink r:id="rId72" w:history="1">
        <w:r w:rsidRPr="00C61356">
          <w:rPr>
            <w:rStyle w:val="Hyperlink"/>
            <w:rFonts w:ascii="Arial" w:hAnsi="Arial" w:cs="Arial"/>
            <w:b/>
            <w:bCs/>
            <w:color w:val="2B674D"/>
          </w:rPr>
          <w:t>26.51.020</w:t>
        </w:r>
      </w:hyperlink>
      <w:r w:rsidRPr="00C61356">
        <w:rPr>
          <w:rFonts w:ascii="Arial" w:hAnsi="Arial" w:cs="Arial"/>
          <w:color w:val="000000"/>
        </w:rPr>
        <w:t> against the other party to harass, coerce, or control the other party, to diminish or exhaust the other party's financial resources, or to compromise the other party's employment or housing; or</w:t>
      </w:r>
    </w:p>
    <w:p w14:paraId="102B2928"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(vi) Engaging in psychological aggression, including inflicting fear, humiliating, degrading, or punishing the other party.</w:t>
      </w:r>
    </w:p>
    <w:p w14:paraId="62D697E8"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(b) "Coercive control" does not include protective actions taken by a party in good faith for the legitimate and lawful purpose of protecting themselves or children from the risk of harm posed by the other party.</w:t>
      </w:r>
    </w:p>
    <w:p w14:paraId="5D8E77D8"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(5)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14:paraId="3D988E22"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 xml:space="preserve">(6)(a) "Course of conduct" means a pattern of conduct composed of a series of acts over </w:t>
      </w:r>
      <w:proofErr w:type="gramStart"/>
      <w:r w:rsidRPr="00C61356">
        <w:rPr>
          <w:rFonts w:ascii="Arial" w:hAnsi="Arial" w:cs="Arial"/>
          <w:color w:val="000000"/>
        </w:rPr>
        <w:t>a period of time</w:t>
      </w:r>
      <w:proofErr w:type="gramEnd"/>
      <w:r w:rsidRPr="00C61356">
        <w:rPr>
          <w:rFonts w:ascii="Arial" w:hAnsi="Arial" w:cs="Arial"/>
          <w:color w:val="000000"/>
        </w:rPr>
        <w:t>,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14:paraId="20918113"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(b) In determining whether the course of conduct serves any legitimate or lawful purpose, a court should consider whether:</w:t>
      </w:r>
    </w:p>
    <w:p w14:paraId="09117DC3"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lastRenderedPageBreak/>
        <w:t>(i) Any current contact between the parties was initiated by the respondent only or was initiated by both parties;</w:t>
      </w:r>
    </w:p>
    <w:p w14:paraId="7F125CBB"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(ii) The respondent has been given clear notice that all further contact with the petitioner is unwanted;</w:t>
      </w:r>
    </w:p>
    <w:p w14:paraId="7E7C694A"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(iii) The respondent's course of conduct appears designed to alarm, annoy, or harass the petitioner;</w:t>
      </w:r>
    </w:p>
    <w:p w14:paraId="05E049BA"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(iv) The respondent is acting pursuant to any statutory authority including, but not limited to, acts which are reasonably necessary to:</w:t>
      </w:r>
    </w:p>
    <w:p w14:paraId="08791235"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(A) Protect property or liberty interests;</w:t>
      </w:r>
    </w:p>
    <w:p w14:paraId="27BC201F"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(B) Enforce the law; or</w:t>
      </w:r>
    </w:p>
    <w:p w14:paraId="772906D2"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(C) Meet specific statutory duties or requirements;</w:t>
      </w:r>
    </w:p>
    <w:p w14:paraId="7BF7A404"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(v) The respondent's course of conduct has the purpose or effect of unreasonably interfering with the petitioner's privacy or the purpose or effect of creating an intimidating, hostile, or offensive living environment for the petitioner; or</w:t>
      </w:r>
    </w:p>
    <w:p w14:paraId="665C25DC"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(vi) Contact by the respondent with the petitioner or the petitioner's family has been limited in any manner by any previous court order.</w:t>
      </w:r>
    </w:p>
    <w:p w14:paraId="7825653A"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(7) "Court clerk" means court administrators in courts of limited jurisdiction and elected court clerks.</w:t>
      </w:r>
    </w:p>
    <w:p w14:paraId="4DA94905"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highlight w:val="yellow"/>
        </w:rPr>
        <w:t>(8)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14:paraId="726334D5"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(9) "Domestic violence" means:</w:t>
      </w:r>
    </w:p>
    <w:p w14:paraId="62EEBE6C"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14:paraId="7C0C1690"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14:paraId="76CA90A3"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(10) "Electronic monitoring" has the same meaning as in RCW </w:t>
      </w:r>
      <w:hyperlink r:id="rId73" w:history="1">
        <w:r w:rsidRPr="00C61356">
          <w:rPr>
            <w:rStyle w:val="Hyperlink"/>
            <w:rFonts w:ascii="Arial" w:hAnsi="Arial" w:cs="Arial"/>
            <w:b/>
            <w:bCs/>
            <w:color w:val="2B674D"/>
          </w:rPr>
          <w:t>9.94A.030</w:t>
        </w:r>
      </w:hyperlink>
      <w:r w:rsidRPr="00C61356">
        <w:rPr>
          <w:rFonts w:ascii="Arial" w:hAnsi="Arial" w:cs="Arial"/>
          <w:color w:val="000000"/>
        </w:rPr>
        <w:t>.</w:t>
      </w:r>
    </w:p>
    <w:p w14:paraId="541BC702"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(11)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14:paraId="48AE7310"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(12) "Facility" means a residence licensed or required to be licensed under chapter </w:t>
      </w:r>
      <w:hyperlink r:id="rId74" w:history="1">
        <w:r w:rsidRPr="00C61356">
          <w:rPr>
            <w:rStyle w:val="Hyperlink"/>
            <w:rFonts w:ascii="Arial" w:hAnsi="Arial" w:cs="Arial"/>
            <w:b/>
            <w:bCs/>
            <w:color w:val="2B674D"/>
          </w:rPr>
          <w:t>18.20</w:t>
        </w:r>
      </w:hyperlink>
      <w:r w:rsidRPr="00C61356">
        <w:rPr>
          <w:rFonts w:ascii="Arial" w:hAnsi="Arial" w:cs="Arial"/>
          <w:color w:val="000000"/>
        </w:rPr>
        <w:t> RCW, assisted living facilities; chapter </w:t>
      </w:r>
      <w:hyperlink r:id="rId75" w:history="1">
        <w:r w:rsidRPr="00C61356">
          <w:rPr>
            <w:rStyle w:val="Hyperlink"/>
            <w:rFonts w:ascii="Arial" w:hAnsi="Arial" w:cs="Arial"/>
            <w:b/>
            <w:bCs/>
            <w:color w:val="2B674D"/>
          </w:rPr>
          <w:t>18.51</w:t>
        </w:r>
      </w:hyperlink>
      <w:r w:rsidRPr="00C61356">
        <w:rPr>
          <w:rFonts w:ascii="Arial" w:hAnsi="Arial" w:cs="Arial"/>
          <w:color w:val="000000"/>
        </w:rPr>
        <w:t> RCW, nursing homes; chapter </w:t>
      </w:r>
      <w:hyperlink r:id="rId76" w:history="1">
        <w:r w:rsidRPr="00C61356">
          <w:rPr>
            <w:rStyle w:val="Hyperlink"/>
            <w:rFonts w:ascii="Arial" w:hAnsi="Arial" w:cs="Arial"/>
            <w:b/>
            <w:bCs/>
            <w:color w:val="2B674D"/>
          </w:rPr>
          <w:t>70.128</w:t>
        </w:r>
      </w:hyperlink>
      <w:r w:rsidRPr="00C61356">
        <w:rPr>
          <w:rFonts w:ascii="Arial" w:hAnsi="Arial" w:cs="Arial"/>
          <w:color w:val="000000"/>
        </w:rPr>
        <w:t> RCW, adult family homes; chapter </w:t>
      </w:r>
      <w:hyperlink r:id="rId77" w:history="1">
        <w:r w:rsidRPr="00C61356">
          <w:rPr>
            <w:rStyle w:val="Hyperlink"/>
            <w:rFonts w:ascii="Arial" w:hAnsi="Arial" w:cs="Arial"/>
            <w:b/>
            <w:bCs/>
            <w:color w:val="2B674D"/>
          </w:rPr>
          <w:t>72.36</w:t>
        </w:r>
      </w:hyperlink>
      <w:r w:rsidRPr="00C61356">
        <w:rPr>
          <w:rFonts w:ascii="Arial" w:hAnsi="Arial" w:cs="Arial"/>
          <w:color w:val="000000"/>
        </w:rPr>
        <w:t> RCW, soldiers' homes; chapter </w:t>
      </w:r>
      <w:hyperlink r:id="rId78" w:history="1">
        <w:r w:rsidRPr="00C61356">
          <w:rPr>
            <w:rStyle w:val="Hyperlink"/>
            <w:rFonts w:ascii="Arial" w:hAnsi="Arial" w:cs="Arial"/>
            <w:b/>
            <w:bCs/>
            <w:color w:val="2B674D"/>
          </w:rPr>
          <w:t>71A.20</w:t>
        </w:r>
      </w:hyperlink>
      <w:r w:rsidRPr="00C61356">
        <w:rPr>
          <w:rFonts w:ascii="Arial" w:hAnsi="Arial" w:cs="Arial"/>
          <w:color w:val="000000"/>
        </w:rPr>
        <w:t> RCW, residential habilitation centers; or any other facility licensed or certified by the department of social and health services.</w:t>
      </w:r>
    </w:p>
    <w:p w14:paraId="678116C2"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(13)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14:paraId="5E530A89"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(14)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14:paraId="32C7FF7D"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lastRenderedPageBreak/>
        <w:t>(a)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14:paraId="3DA13075"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14:paraId="6BCCCE5F"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14:paraId="2B15F27F"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(15)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14:paraId="0404BFD7"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(16) "Full hearing" means a hearing where the court determines whether to issue a full protection order.</w:t>
      </w:r>
    </w:p>
    <w:p w14:paraId="45405C71"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(17)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14:paraId="512743E0"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(18) "Hospital" means a facility licensed under chapter </w:t>
      </w:r>
      <w:hyperlink r:id="rId79" w:history="1">
        <w:r w:rsidRPr="00C61356">
          <w:rPr>
            <w:rStyle w:val="Hyperlink"/>
            <w:rFonts w:ascii="Arial" w:hAnsi="Arial" w:cs="Arial"/>
            <w:b/>
            <w:bCs/>
            <w:color w:val="2B674D"/>
          </w:rPr>
          <w:t>70.41</w:t>
        </w:r>
      </w:hyperlink>
      <w:r w:rsidRPr="00C61356">
        <w:rPr>
          <w:rFonts w:ascii="Arial" w:hAnsi="Arial" w:cs="Arial"/>
          <w:color w:val="000000"/>
        </w:rPr>
        <w:t> or </w:t>
      </w:r>
      <w:hyperlink r:id="rId80" w:history="1">
        <w:r w:rsidRPr="00C61356">
          <w:rPr>
            <w:rStyle w:val="Hyperlink"/>
            <w:rFonts w:ascii="Arial" w:hAnsi="Arial" w:cs="Arial"/>
            <w:b/>
            <w:bCs/>
            <w:color w:val="2B674D"/>
          </w:rPr>
          <w:t>71.12</w:t>
        </w:r>
      </w:hyperlink>
      <w:r w:rsidRPr="00C61356">
        <w:rPr>
          <w:rFonts w:ascii="Arial" w:hAnsi="Arial" w:cs="Arial"/>
          <w:color w:val="000000"/>
        </w:rPr>
        <w:t> RCW or a state hospital defined in chapter </w:t>
      </w:r>
      <w:hyperlink r:id="rId81" w:history="1">
        <w:r w:rsidRPr="00C61356">
          <w:rPr>
            <w:rStyle w:val="Hyperlink"/>
            <w:rFonts w:ascii="Arial" w:hAnsi="Arial" w:cs="Arial"/>
            <w:b/>
            <w:bCs/>
            <w:color w:val="2B674D"/>
          </w:rPr>
          <w:t>72.23</w:t>
        </w:r>
      </w:hyperlink>
      <w:r w:rsidRPr="00C61356">
        <w:rPr>
          <w:rFonts w:ascii="Arial" w:hAnsi="Arial" w:cs="Arial"/>
          <w:color w:val="000000"/>
        </w:rPr>
        <w:t> RCW and any employee, agent, officer, director, or independent contractor thereof.</w:t>
      </w:r>
    </w:p>
    <w:p w14:paraId="6A63C6A2"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(19)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14:paraId="10C82206"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(20) "Intimate partner" means: (a) Spouses or domestic partners; (b) former spouses or former domestic partners; (c) persons who have a child in common regardless of whether they have been married or have lived together at any time, unless the child is conceived through sexual assault; or (d) persons who have or have had a dating relationship where both persons are at least 13 years of age or older.</w:t>
      </w:r>
    </w:p>
    <w:p w14:paraId="68CE0C9B"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(21)(a) "Isolate" or "isolation" means to restrict a person's ability to communicate, visit, interact, or otherwise associate with persons of his or her choosing. Isolation may be evidenced by acts including, but not limited to:</w:t>
      </w:r>
    </w:p>
    <w:p w14:paraId="43C67AA3"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(i) Acts that prevent a person from sending, making, or receiving his or her personal mail, electronic communications, or telephone calls; or</w:t>
      </w:r>
    </w:p>
    <w:p w14:paraId="305BA15F"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(ii) Acts that prevent or obstruct a person from meeting with others, such as telling a prospective visitor or caller that the person is not present or does not wish contact, where the statement is contrary to the express wishes of the person.</w:t>
      </w:r>
    </w:p>
    <w:p w14:paraId="464A9167"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(b) The term "isolate" or "isolation" may not be construed in a manner that prevents a guardian or limited guardian from performing his or her fiduciary obligations under *chapter </w:t>
      </w:r>
      <w:hyperlink r:id="rId82" w:history="1">
        <w:r w:rsidRPr="00C61356">
          <w:rPr>
            <w:rStyle w:val="Hyperlink"/>
            <w:rFonts w:ascii="Arial" w:hAnsi="Arial" w:cs="Arial"/>
            <w:b/>
            <w:bCs/>
            <w:color w:val="2B674D"/>
          </w:rPr>
          <w:t>11.92</w:t>
        </w:r>
      </w:hyperlink>
      <w:r w:rsidRPr="00C61356">
        <w:rPr>
          <w:rFonts w:ascii="Arial" w:hAnsi="Arial" w:cs="Arial"/>
          <w:color w:val="000000"/>
        </w:rPr>
        <w:t> RCW or prevents a hospital or facility from providing treatment consistent with the standard of care for delivery of health services.</w:t>
      </w:r>
    </w:p>
    <w:p w14:paraId="35B8F8BB"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(22) "Judicial day" means days of the week other than Saturdays, Sundays, or legal holidays.</w:t>
      </w:r>
    </w:p>
    <w:p w14:paraId="142AEF62"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lastRenderedPageBreak/>
        <w:t>(23)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w:t>
      </w:r>
      <w:hyperlink r:id="rId83" w:history="1">
        <w:r w:rsidRPr="00C61356">
          <w:rPr>
            <w:rStyle w:val="Hyperlink"/>
            <w:rFonts w:ascii="Arial" w:hAnsi="Arial" w:cs="Arial"/>
            <w:b/>
            <w:bCs/>
            <w:color w:val="2B674D"/>
          </w:rPr>
          <w:t>71A.12</w:t>
        </w:r>
      </w:hyperlink>
      <w:r w:rsidRPr="00C61356">
        <w:rPr>
          <w:rFonts w:ascii="Arial" w:hAnsi="Arial" w:cs="Arial"/>
          <w:color w:val="000000"/>
        </w:rPr>
        <w:t> RCW.</w:t>
      </w:r>
    </w:p>
    <w:p w14:paraId="4E2E4716"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(24) "Minor" means a person who is under 18 years of age.</w:t>
      </w:r>
    </w:p>
    <w:p w14:paraId="6069F194"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(25)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w:t>
      </w:r>
      <w:hyperlink r:id="rId84" w:history="1">
        <w:r w:rsidRPr="00C61356">
          <w:rPr>
            <w:rStyle w:val="Hyperlink"/>
            <w:rFonts w:ascii="Arial" w:hAnsi="Arial" w:cs="Arial"/>
            <w:b/>
            <w:bCs/>
            <w:color w:val="2B674D"/>
          </w:rPr>
          <w:t>9A.42.100</w:t>
        </w:r>
      </w:hyperlink>
      <w:r w:rsidRPr="00C61356">
        <w:rPr>
          <w:rFonts w:ascii="Arial" w:hAnsi="Arial" w:cs="Arial"/>
          <w:color w:val="000000"/>
        </w:rPr>
        <w:t>.</w:t>
      </w:r>
    </w:p>
    <w:p w14:paraId="5B65ABC2"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(26) "Nonconsensual" means a lack of freely given consent.</w:t>
      </w:r>
    </w:p>
    <w:p w14:paraId="667B0804"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(27) "Nonphysical contact" includes, but is not limited to, written notes, mail, telephone calls, email, text messages, contact through social media applications, contact through other technologies, or contact through third parties.</w:t>
      </w:r>
    </w:p>
    <w:p w14:paraId="18EF79CA"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 xml:space="preserve">(28) "Petitioner" means any named </w:t>
      </w:r>
      <w:proofErr w:type="gramStart"/>
      <w:r w:rsidRPr="00C61356">
        <w:rPr>
          <w:rFonts w:ascii="Arial" w:hAnsi="Arial" w:cs="Arial"/>
          <w:color w:val="000000"/>
        </w:rPr>
        <w:t>petitioner</w:t>
      </w:r>
      <w:proofErr w:type="gramEnd"/>
      <w:r w:rsidRPr="00C61356">
        <w:rPr>
          <w:rFonts w:ascii="Arial" w:hAnsi="Arial" w:cs="Arial"/>
          <w:color w:val="000000"/>
        </w:rPr>
        <w:t xml:space="preserve"> or any other person identified in the petition on whose behalf the petition is brought.</w:t>
      </w:r>
    </w:p>
    <w:p w14:paraId="36200949"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(29)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14:paraId="0610F344"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(30)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14:paraId="53511E97"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(31) "Respondent" means the person who is identified as the respondent in a petition filed under this chapter.</w:t>
      </w:r>
    </w:p>
    <w:p w14:paraId="6A0F6B1B"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(32) "Sexual conduct" means any of the following:</w:t>
      </w:r>
    </w:p>
    <w:p w14:paraId="6C8CEC5B"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(a) Any intentional or knowing touching or fondling of the genitals, anus, or breasts, directly or indirectly, including through clothing;</w:t>
      </w:r>
    </w:p>
    <w:p w14:paraId="7554616E"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(b) Any intentional or knowing display of the genitals, anus, or breasts for the purposes of arousal or sexual gratification of the respondent;</w:t>
      </w:r>
    </w:p>
    <w:p w14:paraId="412ABB43"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(c) Any intentional or knowing touching or fondling of the genitals, anus, or breasts, directly or indirectly, including through clothing, that the petitioner is forced to perform by another person or the respondent;</w:t>
      </w:r>
    </w:p>
    <w:p w14:paraId="1F5ECE63"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(d) Any forced display of the petitioner's genitals, anus, or breasts for the purposes of arousal or sexual gratification of the respondent or others;</w:t>
      </w:r>
    </w:p>
    <w:p w14:paraId="132065AA"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(e) Any intentional or knowing touching of the clothed or unclothed body of a child under the age of 16, if done for the purpose of sexual gratification or arousal of the respondent or others; or</w:t>
      </w:r>
    </w:p>
    <w:p w14:paraId="5CE8D8FD"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(f) Any coerced or forced touching or fondling by a child under the age of 16, directly or indirectly, including through clothing, of the genitals, anus, or breasts of the respondent or others.</w:t>
      </w:r>
    </w:p>
    <w:p w14:paraId="6BD93E85"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 xml:space="preserve">(33) "Sexual penetration" means any contact, however slight, between the sex organ or anus of one person by an object, the sex organ, mouth, or anus of another person, or any intrusion, however slight, of any part of the body of one person or of any animal or object into </w:t>
      </w:r>
      <w:r w:rsidRPr="00C61356">
        <w:rPr>
          <w:rFonts w:ascii="Arial" w:hAnsi="Arial" w:cs="Arial"/>
          <w:color w:val="000000"/>
        </w:rPr>
        <w:lastRenderedPageBreak/>
        <w:t>the sex organ or anus of another person including, but not limited to, cunnilingus, fellatio, or anal penetration. Evidence of emission of semen is not required to prove sexual penetration.</w:t>
      </w:r>
    </w:p>
    <w:p w14:paraId="084061A4"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(34) "Stalking" means any of the following:</w:t>
      </w:r>
    </w:p>
    <w:p w14:paraId="28EE84A8"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(a) Any act of stalking as defined under RCW </w:t>
      </w:r>
      <w:hyperlink r:id="rId85" w:history="1">
        <w:r w:rsidRPr="00C61356">
          <w:rPr>
            <w:rStyle w:val="Hyperlink"/>
            <w:rFonts w:ascii="Arial" w:hAnsi="Arial" w:cs="Arial"/>
            <w:b/>
            <w:bCs/>
            <w:color w:val="2B674D"/>
          </w:rPr>
          <w:t>9A.46.110</w:t>
        </w:r>
      </w:hyperlink>
      <w:r w:rsidRPr="00C61356">
        <w:rPr>
          <w:rFonts w:ascii="Arial" w:hAnsi="Arial" w:cs="Arial"/>
          <w:color w:val="000000"/>
        </w:rPr>
        <w:t>;</w:t>
      </w:r>
    </w:p>
    <w:p w14:paraId="6163DDB9"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(b) Any act of cyber harassment as defined under RCW </w:t>
      </w:r>
      <w:hyperlink r:id="rId86" w:history="1">
        <w:r w:rsidRPr="00C61356">
          <w:rPr>
            <w:rStyle w:val="Hyperlink"/>
            <w:rFonts w:ascii="Arial" w:hAnsi="Arial" w:cs="Arial"/>
            <w:b/>
            <w:bCs/>
            <w:color w:val="2B674D"/>
          </w:rPr>
          <w:t>9A.90.120</w:t>
        </w:r>
      </w:hyperlink>
      <w:r w:rsidRPr="00C61356">
        <w:rPr>
          <w:rFonts w:ascii="Arial" w:hAnsi="Arial" w:cs="Arial"/>
          <w:color w:val="000000"/>
        </w:rPr>
        <w:t>; or</w:t>
      </w:r>
    </w:p>
    <w:p w14:paraId="4F3DE0FE"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(c) Any course of conduct involving repeated or continuing contacts, attempts to contact, monitoring, tracking, surveillance, keeping under observation, disrupting activities in a harassing manner, or following of another person that:</w:t>
      </w:r>
    </w:p>
    <w:p w14:paraId="13ED4180"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 xml:space="preserve">(i) Would cause a reasonable person to feel intimidated, frightened, under duress, significantly disrupted, or threatened and that actually causes such a </w:t>
      </w:r>
      <w:proofErr w:type="gramStart"/>
      <w:r w:rsidRPr="00C61356">
        <w:rPr>
          <w:rFonts w:ascii="Arial" w:hAnsi="Arial" w:cs="Arial"/>
          <w:color w:val="000000"/>
        </w:rPr>
        <w:t>feeling;</w:t>
      </w:r>
      <w:proofErr w:type="gramEnd"/>
    </w:p>
    <w:p w14:paraId="0FF67B15"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(ii) Serves no lawful purpose; and</w:t>
      </w:r>
    </w:p>
    <w:p w14:paraId="7DDC9537"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(iii) The respondent knows, or reasonably should know, threatens, frightens, or intimidates the person, even if the respondent did not intend to intimidate, frighten, or threaten the person.</w:t>
      </w:r>
    </w:p>
    <w:p w14:paraId="12554EDA"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 xml:space="preserve">(35) "Temporary protection order" means a protection order that is issued before the court has decided whether to issue a full protection order. "Temporary protection order" includes ex </w:t>
      </w:r>
      <w:proofErr w:type="spellStart"/>
      <w:r w:rsidRPr="00C61356">
        <w:rPr>
          <w:rFonts w:ascii="Arial" w:hAnsi="Arial" w:cs="Arial"/>
          <w:color w:val="000000"/>
        </w:rPr>
        <w:t>parte</w:t>
      </w:r>
      <w:proofErr w:type="spellEnd"/>
      <w:r w:rsidRPr="00C61356">
        <w:rPr>
          <w:rFonts w:ascii="Arial" w:hAnsi="Arial" w:cs="Arial"/>
          <w:color w:val="000000"/>
        </w:rPr>
        <w:t xml:space="preserve"> temporary protection orders, as well as temporary protection orders that are reissued by the court pending the completion of a full hearing to decide whether to issue a full protection order. An "ex </w:t>
      </w:r>
      <w:proofErr w:type="spellStart"/>
      <w:r w:rsidRPr="00C61356">
        <w:rPr>
          <w:rFonts w:ascii="Arial" w:hAnsi="Arial" w:cs="Arial"/>
          <w:color w:val="000000"/>
        </w:rPr>
        <w:t>parte</w:t>
      </w:r>
      <w:proofErr w:type="spellEnd"/>
      <w:r w:rsidRPr="00C61356">
        <w:rPr>
          <w:rFonts w:ascii="Arial" w:hAnsi="Arial" w:cs="Arial"/>
          <w:color w:val="000000"/>
        </w:rPr>
        <w:t xml:space="preserve"> temporary protection order" means a temporary protection order that is issued without prior notice to the respondent.</w:t>
      </w:r>
    </w:p>
    <w:p w14:paraId="6DBEBC03"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(36) "Unlawful harassment" means:</w:t>
      </w:r>
    </w:p>
    <w:p w14:paraId="493FAF7B"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w:t>
      </w:r>
      <w:proofErr w:type="gramStart"/>
      <w:r w:rsidRPr="00C61356">
        <w:rPr>
          <w:rFonts w:ascii="Arial" w:hAnsi="Arial" w:cs="Arial"/>
          <w:color w:val="000000"/>
        </w:rPr>
        <w:t>actually cause</w:t>
      </w:r>
      <w:proofErr w:type="gramEnd"/>
      <w:r w:rsidRPr="00C61356">
        <w:rPr>
          <w:rFonts w:ascii="Arial" w:hAnsi="Arial" w:cs="Arial"/>
          <w:color w:val="000000"/>
        </w:rPr>
        <w:t xml:space="preserve"> substantial emotional distress to the petitioner; or</w:t>
      </w:r>
    </w:p>
    <w:p w14:paraId="2B3BED35"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w:t>
      </w:r>
      <w:proofErr w:type="gramStart"/>
      <w:r w:rsidRPr="00C61356">
        <w:rPr>
          <w:rFonts w:ascii="Arial" w:hAnsi="Arial" w:cs="Arial"/>
          <w:color w:val="000000"/>
        </w:rPr>
        <w:t>actually cause</w:t>
      </w:r>
      <w:proofErr w:type="gramEnd"/>
      <w:r w:rsidRPr="00C61356">
        <w:rPr>
          <w:rFonts w:ascii="Arial" w:hAnsi="Arial" w:cs="Arial"/>
          <w:color w:val="000000"/>
        </w:rPr>
        <w:t xml:space="preserve"> substantial emotional distress to the petitioner. A single threat of violence must include: (i) A malicious and intentional threat as described in RCW </w:t>
      </w:r>
      <w:hyperlink r:id="rId87" w:history="1">
        <w:r w:rsidRPr="00C61356">
          <w:rPr>
            <w:rStyle w:val="Hyperlink"/>
            <w:rFonts w:ascii="Arial" w:hAnsi="Arial" w:cs="Arial"/>
            <w:b/>
            <w:bCs/>
            <w:color w:val="2B674D"/>
          </w:rPr>
          <w:t>9A.36.080</w:t>
        </w:r>
      </w:hyperlink>
      <w:r w:rsidRPr="00C61356">
        <w:rPr>
          <w:rFonts w:ascii="Arial" w:hAnsi="Arial" w:cs="Arial"/>
          <w:color w:val="000000"/>
        </w:rPr>
        <w:t>(1)(c); or (ii) the presence of a firearm or other weapon.</w:t>
      </w:r>
    </w:p>
    <w:p w14:paraId="3507D6D5"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(37) "Vulnerable adult" includes a person:</w:t>
      </w:r>
    </w:p>
    <w:p w14:paraId="08C97549"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(a) Sixty years of age or older who has the functional, mental, or physical inability to care for himself or herself; or</w:t>
      </w:r>
    </w:p>
    <w:p w14:paraId="33A52512"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(b) Subject to a guardianship under RCW </w:t>
      </w:r>
      <w:hyperlink r:id="rId88" w:history="1">
        <w:r w:rsidRPr="00C61356">
          <w:rPr>
            <w:rStyle w:val="Hyperlink"/>
            <w:rFonts w:ascii="Arial" w:hAnsi="Arial" w:cs="Arial"/>
            <w:b/>
            <w:bCs/>
            <w:color w:val="2B674D"/>
          </w:rPr>
          <w:t>11.130.265</w:t>
        </w:r>
      </w:hyperlink>
      <w:r w:rsidRPr="00C61356">
        <w:rPr>
          <w:rFonts w:ascii="Arial" w:hAnsi="Arial" w:cs="Arial"/>
          <w:color w:val="000000"/>
        </w:rPr>
        <w:t> or adult subject to conservatorship under RCW </w:t>
      </w:r>
      <w:hyperlink r:id="rId89" w:history="1">
        <w:r w:rsidRPr="00C61356">
          <w:rPr>
            <w:rStyle w:val="Hyperlink"/>
            <w:rFonts w:ascii="Arial" w:hAnsi="Arial" w:cs="Arial"/>
            <w:b/>
            <w:bCs/>
            <w:color w:val="2B674D"/>
          </w:rPr>
          <w:t>11.130.360</w:t>
        </w:r>
      </w:hyperlink>
      <w:r w:rsidRPr="00C61356">
        <w:rPr>
          <w:rFonts w:ascii="Arial" w:hAnsi="Arial" w:cs="Arial"/>
          <w:color w:val="000000"/>
        </w:rPr>
        <w:t>; or</w:t>
      </w:r>
    </w:p>
    <w:p w14:paraId="618BFC2D"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(c) Who has a developmental disability as defined under RCW </w:t>
      </w:r>
      <w:hyperlink r:id="rId90" w:history="1">
        <w:r w:rsidRPr="00C61356">
          <w:rPr>
            <w:rStyle w:val="Hyperlink"/>
            <w:rFonts w:ascii="Arial" w:hAnsi="Arial" w:cs="Arial"/>
            <w:b/>
            <w:bCs/>
            <w:color w:val="2B674D"/>
          </w:rPr>
          <w:t>71A.10.020</w:t>
        </w:r>
      </w:hyperlink>
      <w:r w:rsidRPr="00C61356">
        <w:rPr>
          <w:rFonts w:ascii="Arial" w:hAnsi="Arial" w:cs="Arial"/>
          <w:color w:val="000000"/>
        </w:rPr>
        <w:t>; or</w:t>
      </w:r>
    </w:p>
    <w:p w14:paraId="525645FB"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(d) Admitted to any facility; or</w:t>
      </w:r>
    </w:p>
    <w:p w14:paraId="52C77CC8"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(e) Receiving services from home health, hospice, or home care agencies licensed or required to be licensed under chapter </w:t>
      </w:r>
      <w:hyperlink r:id="rId91" w:history="1">
        <w:r w:rsidRPr="00C61356">
          <w:rPr>
            <w:rStyle w:val="Hyperlink"/>
            <w:rFonts w:ascii="Arial" w:hAnsi="Arial" w:cs="Arial"/>
            <w:b/>
            <w:bCs/>
            <w:color w:val="2B674D"/>
          </w:rPr>
          <w:t>70.127</w:t>
        </w:r>
      </w:hyperlink>
      <w:r w:rsidRPr="00C61356">
        <w:rPr>
          <w:rFonts w:ascii="Arial" w:hAnsi="Arial" w:cs="Arial"/>
          <w:color w:val="000000"/>
        </w:rPr>
        <w:t> RCW; or</w:t>
      </w:r>
    </w:p>
    <w:p w14:paraId="4A0AF340"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(f) Receiving services from a person under contract with the department of social and health services to provide services in the home under chapter </w:t>
      </w:r>
      <w:hyperlink r:id="rId92" w:history="1">
        <w:r w:rsidRPr="00C61356">
          <w:rPr>
            <w:rStyle w:val="Hyperlink"/>
            <w:rFonts w:ascii="Arial" w:hAnsi="Arial" w:cs="Arial"/>
            <w:b/>
            <w:bCs/>
            <w:color w:val="2B674D"/>
          </w:rPr>
          <w:t>74.09</w:t>
        </w:r>
      </w:hyperlink>
      <w:r w:rsidRPr="00C61356">
        <w:rPr>
          <w:rFonts w:ascii="Arial" w:hAnsi="Arial" w:cs="Arial"/>
          <w:color w:val="000000"/>
        </w:rPr>
        <w:t> or </w:t>
      </w:r>
      <w:hyperlink r:id="rId93" w:history="1">
        <w:r w:rsidRPr="00C61356">
          <w:rPr>
            <w:rStyle w:val="Hyperlink"/>
            <w:rFonts w:ascii="Arial" w:hAnsi="Arial" w:cs="Arial"/>
            <w:b/>
            <w:bCs/>
            <w:color w:val="2B674D"/>
          </w:rPr>
          <w:t>74.39A</w:t>
        </w:r>
      </w:hyperlink>
      <w:r w:rsidRPr="00C61356">
        <w:rPr>
          <w:rFonts w:ascii="Arial" w:hAnsi="Arial" w:cs="Arial"/>
          <w:color w:val="000000"/>
        </w:rPr>
        <w:t> RCW; or</w:t>
      </w:r>
    </w:p>
    <w:p w14:paraId="2122BBFD" w14:textId="77777777" w:rsidR="00935A48" w:rsidRPr="00C61356" w:rsidRDefault="00935A48" w:rsidP="00935A48">
      <w:pPr>
        <w:spacing w:after="0" w:line="240" w:lineRule="auto"/>
        <w:ind w:firstLine="720"/>
        <w:rPr>
          <w:rFonts w:ascii="Arial" w:hAnsi="Arial" w:cs="Arial"/>
          <w:color w:val="000000"/>
        </w:rPr>
      </w:pPr>
      <w:r w:rsidRPr="00C61356">
        <w:rPr>
          <w:rFonts w:ascii="Arial" w:hAnsi="Arial" w:cs="Arial"/>
          <w:color w:val="000000"/>
        </w:rPr>
        <w:t>(g) Who self-directs his or her own care and receives services from a personal aide under chapter </w:t>
      </w:r>
      <w:hyperlink r:id="rId94" w:history="1">
        <w:r w:rsidRPr="00C61356">
          <w:rPr>
            <w:rStyle w:val="Hyperlink"/>
            <w:rFonts w:ascii="Arial" w:hAnsi="Arial" w:cs="Arial"/>
            <w:b/>
            <w:bCs/>
            <w:color w:val="2B674D"/>
          </w:rPr>
          <w:t>74.39</w:t>
        </w:r>
      </w:hyperlink>
      <w:r w:rsidRPr="00C61356">
        <w:rPr>
          <w:rFonts w:ascii="Arial" w:hAnsi="Arial" w:cs="Arial"/>
          <w:color w:val="000000"/>
        </w:rPr>
        <w:t> RCW.</w:t>
      </w:r>
    </w:p>
    <w:p w14:paraId="7A5BEB64" w14:textId="77777777" w:rsidR="00A4205E" w:rsidRPr="00C61356" w:rsidRDefault="00A4205E" w:rsidP="00A4205E">
      <w:pPr>
        <w:spacing w:after="0"/>
        <w:rPr>
          <w:rFonts w:ascii="Arial" w:hAnsi="Arial" w:cs="Arial"/>
        </w:rPr>
      </w:pPr>
    </w:p>
    <w:p w14:paraId="099D1D38" w14:textId="0964D128" w:rsidR="00935A48" w:rsidRPr="00FE6771" w:rsidRDefault="00935A48" w:rsidP="004835E8">
      <w:pPr>
        <w:pStyle w:val="Heading1"/>
        <w:rPr>
          <w:rFonts w:cs="Arial"/>
          <w:color w:val="FF0000"/>
          <w:szCs w:val="22"/>
          <w:u w:val="single"/>
        </w:rPr>
      </w:pPr>
      <w:r w:rsidRPr="00FE6771">
        <w:rPr>
          <w:rFonts w:cs="Arial"/>
          <w:szCs w:val="22"/>
          <w:u w:val="single"/>
        </w:rPr>
        <w:t>Item #</w:t>
      </w:r>
      <w:r w:rsidR="004668B3">
        <w:rPr>
          <w:rFonts w:cs="Arial"/>
          <w:szCs w:val="22"/>
          <w:u w:val="single"/>
        </w:rPr>
        <w:t>3</w:t>
      </w:r>
      <w:r w:rsidRPr="00FE6771">
        <w:rPr>
          <w:rFonts w:cs="Arial"/>
          <w:szCs w:val="22"/>
          <w:u w:val="single"/>
        </w:rPr>
        <w:t xml:space="preserve"> – Washington Management Services (WMS) </w:t>
      </w:r>
    </w:p>
    <w:p w14:paraId="4BD6A993" w14:textId="77777777" w:rsidR="00FE6771" w:rsidRDefault="00FE6771" w:rsidP="00935A48">
      <w:pPr>
        <w:spacing w:after="0"/>
        <w:rPr>
          <w:rStyle w:val="Heading2Char"/>
        </w:rPr>
      </w:pPr>
    </w:p>
    <w:p w14:paraId="6B76B666" w14:textId="0DBAA19D" w:rsidR="00935A48" w:rsidRPr="00C61356" w:rsidRDefault="00935A48" w:rsidP="00935A48">
      <w:pPr>
        <w:spacing w:after="0"/>
        <w:rPr>
          <w:rFonts w:ascii="Arial" w:hAnsi="Arial" w:cs="Arial"/>
        </w:rPr>
      </w:pPr>
      <w:r w:rsidRPr="00FE6771">
        <w:rPr>
          <w:rStyle w:val="Heading2Char"/>
        </w:rPr>
        <w:lastRenderedPageBreak/>
        <w:t>Staff Note:</w:t>
      </w:r>
      <w:r w:rsidRPr="00C61356">
        <w:rPr>
          <w:rFonts w:ascii="Arial" w:hAnsi="Arial" w:cs="Arial"/>
        </w:rPr>
        <w:t xml:space="preserve"> Second Substitute House Bill 1122 (</w:t>
      </w:r>
      <w:hyperlink r:id="rId95" w:history="1">
        <w:r w:rsidRPr="00C61356">
          <w:rPr>
            <w:rStyle w:val="Hyperlink"/>
            <w:rFonts w:ascii="Arial" w:hAnsi="Arial" w:cs="Arial"/>
          </w:rPr>
          <w:t>2SHB 1122</w:t>
        </w:r>
      </w:hyperlink>
      <w:r w:rsidRPr="00C61356">
        <w:rPr>
          <w:rFonts w:ascii="Arial" w:hAnsi="Arial" w:cs="Arial"/>
          <w:u w:val="single"/>
        </w:rPr>
        <w:t>)</w:t>
      </w:r>
      <w:r w:rsidRPr="00C61356">
        <w:rPr>
          <w:rFonts w:ascii="Arial" w:hAnsi="Arial" w:cs="Arial"/>
        </w:rPr>
        <w:t xml:space="preserve"> passed during the 2023 legislative session, chapter 136, laws of 2023, with an effective date of January 1, 2024. This bill amends Chapter 41.06 RCW (state civil service law)  and Chapter </w:t>
      </w:r>
      <w:hyperlink r:id="rId96" w:history="1">
        <w:r w:rsidRPr="00C61356">
          <w:rPr>
            <w:rStyle w:val="Hyperlink"/>
            <w:rFonts w:ascii="Arial" w:hAnsi="Arial" w:cs="Arial"/>
          </w:rPr>
          <w:t>41.80</w:t>
        </w:r>
      </w:hyperlink>
      <w:r w:rsidRPr="00C61356">
        <w:rPr>
          <w:rFonts w:ascii="Arial" w:hAnsi="Arial" w:cs="Arial"/>
          <w:u w:val="single"/>
        </w:rPr>
        <w:t xml:space="preserve"> RCW</w:t>
      </w:r>
      <w:r w:rsidRPr="00C61356">
        <w:rPr>
          <w:rFonts w:ascii="Arial" w:hAnsi="Arial" w:cs="Arial"/>
        </w:rPr>
        <w:t xml:space="preserve"> (state collective bargaining) to grant Washington Management Service (WMS) employees in certain salary bands the right to collectively bargain. WMS collective bargaining agreements may not take effect before July 1, 2025.</w:t>
      </w:r>
    </w:p>
    <w:p w14:paraId="444044B7" w14:textId="77777777" w:rsidR="00935A48" w:rsidRPr="00C61356" w:rsidRDefault="00935A48" w:rsidP="00935A48">
      <w:pPr>
        <w:spacing w:after="0"/>
        <w:rPr>
          <w:rFonts w:ascii="Arial" w:hAnsi="Arial" w:cs="Arial"/>
        </w:rPr>
      </w:pPr>
    </w:p>
    <w:p w14:paraId="47CA9FA9" w14:textId="77777777" w:rsidR="00A4205E" w:rsidRDefault="00935A48" w:rsidP="00935A48">
      <w:pPr>
        <w:spacing w:after="0"/>
        <w:rPr>
          <w:rFonts w:ascii="Arial" w:hAnsi="Arial" w:cs="Arial"/>
          <w:bCs/>
        </w:rPr>
      </w:pPr>
      <w:r w:rsidRPr="00C61356">
        <w:rPr>
          <w:rFonts w:ascii="Arial" w:hAnsi="Arial" w:cs="Arial"/>
        </w:rPr>
        <w:t xml:space="preserve">We are proposing to amend WAC 357-58-040(1) </w:t>
      </w:r>
      <w:r w:rsidRPr="00C61356">
        <w:rPr>
          <w:rFonts w:ascii="Arial" w:hAnsi="Arial" w:cs="Arial"/>
          <w:bCs/>
        </w:rPr>
        <w:t xml:space="preserve">to add the exemption reference to </w:t>
      </w:r>
      <w:hyperlink r:id="rId97" w:history="1">
        <w:r w:rsidRPr="00C61356">
          <w:rPr>
            <w:rStyle w:val="Hyperlink"/>
            <w:rFonts w:ascii="Arial" w:hAnsi="Arial" w:cs="Arial"/>
            <w:bCs/>
          </w:rPr>
          <w:t>RCW 41.06.022</w:t>
        </w:r>
      </w:hyperlink>
      <w:r w:rsidRPr="00C61356">
        <w:rPr>
          <w:rFonts w:ascii="Arial" w:hAnsi="Arial" w:cs="Arial"/>
          <w:bCs/>
        </w:rPr>
        <w:t xml:space="preserve"> for clarification.</w:t>
      </w:r>
    </w:p>
    <w:p w14:paraId="5E1B37A7" w14:textId="77777777" w:rsidR="00586E1C" w:rsidRDefault="00586E1C" w:rsidP="00935A48">
      <w:pPr>
        <w:spacing w:after="0"/>
        <w:rPr>
          <w:rFonts w:ascii="Arial" w:hAnsi="Arial" w:cs="Arial"/>
          <w:bCs/>
        </w:rPr>
      </w:pPr>
    </w:p>
    <w:p w14:paraId="76EC41A3" w14:textId="6A80047D" w:rsidR="00586E1C" w:rsidRPr="00FA5945" w:rsidRDefault="00870E8F" w:rsidP="00586E1C">
      <w:pPr>
        <w:rPr>
          <w:rFonts w:ascii="Arial" w:eastAsia="Times New Roman" w:hAnsi="Arial" w:cs="Arial"/>
        </w:rPr>
      </w:pPr>
      <w:r>
        <w:rPr>
          <w:rFonts w:ascii="Arial" w:hAnsi="Arial" w:cs="Arial"/>
        </w:rPr>
        <w:t xml:space="preserve">We are planning to propose permanent adoption at the November 14, 2023, Director’s </w:t>
      </w:r>
      <w:proofErr w:type="gramStart"/>
      <w:r>
        <w:rPr>
          <w:rFonts w:ascii="Arial" w:hAnsi="Arial" w:cs="Arial"/>
        </w:rPr>
        <w:t>meeting.</w:t>
      </w:r>
      <w:r w:rsidR="00586E1C" w:rsidRPr="00586E1C">
        <w:rPr>
          <w:rFonts w:ascii="Arial" w:hAnsi="Arial" w:cs="Arial"/>
        </w:rPr>
        <w:t>.</w:t>
      </w:r>
      <w:proofErr w:type="gramEnd"/>
    </w:p>
    <w:p w14:paraId="12AEB4A0" w14:textId="71F46E9D" w:rsidR="00935A48" w:rsidRPr="00C61356" w:rsidRDefault="00935A48" w:rsidP="00935A48">
      <w:pPr>
        <w:spacing w:after="0"/>
        <w:rPr>
          <w:rFonts w:ascii="Arial" w:hAnsi="Arial" w:cs="Arial"/>
          <w:bCs/>
        </w:rPr>
      </w:pPr>
      <w:r w:rsidRPr="00C61356">
        <w:rPr>
          <w:rFonts w:ascii="Arial" w:hAnsi="Arial" w:cs="Arial"/>
          <w:bCs/>
        </w:rPr>
        <w:t>Lead: Patricia Foshaug</w:t>
      </w:r>
    </w:p>
    <w:p w14:paraId="53540BC1" w14:textId="77777777" w:rsidR="00935A48" w:rsidRDefault="00935A48" w:rsidP="00935A48">
      <w:pPr>
        <w:spacing w:after="0"/>
        <w:rPr>
          <w:rFonts w:ascii="Arial" w:hAnsi="Arial" w:cs="Arial"/>
          <w:bCs/>
        </w:rPr>
      </w:pPr>
    </w:p>
    <w:p w14:paraId="417A6A11" w14:textId="77777777" w:rsidR="00FE6771" w:rsidRPr="00C61356" w:rsidRDefault="00FE6771" w:rsidP="00935A48">
      <w:pPr>
        <w:spacing w:after="0"/>
        <w:rPr>
          <w:rFonts w:ascii="Arial" w:hAnsi="Arial" w:cs="Arial"/>
          <w:bCs/>
        </w:rPr>
      </w:pPr>
    </w:p>
    <w:p w14:paraId="5A53DCB4" w14:textId="77777777" w:rsidR="00935A48" w:rsidRPr="00C61356" w:rsidRDefault="00935A48" w:rsidP="00935A48">
      <w:pPr>
        <w:spacing w:after="0"/>
        <w:rPr>
          <w:rFonts w:ascii="Arial" w:hAnsi="Arial" w:cs="Arial"/>
          <w:bCs/>
          <w:u w:val="single"/>
        </w:rPr>
      </w:pPr>
      <w:r w:rsidRPr="00C61356">
        <w:rPr>
          <w:rFonts w:ascii="Arial" w:hAnsi="Arial" w:cs="Arial"/>
          <w:bCs/>
          <w:u w:val="single"/>
        </w:rPr>
        <w:t>REFERENCE ONLY</w:t>
      </w:r>
    </w:p>
    <w:p w14:paraId="5E46CD51" w14:textId="77777777" w:rsidR="00935A48" w:rsidRPr="00C61356" w:rsidRDefault="00935A48" w:rsidP="00935A48">
      <w:pPr>
        <w:spacing w:after="0"/>
        <w:rPr>
          <w:rFonts w:ascii="Arial" w:hAnsi="Arial" w:cs="Arial"/>
          <w:b/>
          <w:u w:val="single"/>
        </w:rPr>
      </w:pPr>
    </w:p>
    <w:p w14:paraId="5D3F73CA" w14:textId="77777777" w:rsidR="00935A48" w:rsidRPr="00C61356" w:rsidRDefault="00935A48" w:rsidP="00935A48">
      <w:pPr>
        <w:spacing w:after="0"/>
        <w:rPr>
          <w:rFonts w:ascii="Arial" w:hAnsi="Arial" w:cs="Arial"/>
          <w:b/>
          <w:bCs/>
        </w:rPr>
      </w:pPr>
      <w:r w:rsidRPr="00C61356">
        <w:rPr>
          <w:rFonts w:ascii="Arial" w:hAnsi="Arial" w:cs="Arial"/>
          <w:b/>
          <w:bCs/>
        </w:rPr>
        <w:t>WAC</w:t>
      </w:r>
      <w:r w:rsidRPr="00C61356">
        <w:rPr>
          <w:rFonts w:ascii="Arial" w:hAnsi="Arial" w:cs="Arial"/>
        </w:rPr>
        <w:t xml:space="preserve"> </w:t>
      </w:r>
      <w:r w:rsidRPr="00C61356">
        <w:rPr>
          <w:rFonts w:ascii="Arial" w:hAnsi="Arial" w:cs="Arial"/>
          <w:b/>
          <w:bCs/>
        </w:rPr>
        <w:t>357-58-035 What is the definition of a manager or managerial employee?</w:t>
      </w:r>
    </w:p>
    <w:p w14:paraId="40A0F5DF" w14:textId="77777777" w:rsidR="00935A48" w:rsidRPr="00C61356" w:rsidRDefault="00935A48" w:rsidP="00935A48">
      <w:pPr>
        <w:spacing w:after="0"/>
        <w:rPr>
          <w:rFonts w:ascii="Arial" w:hAnsi="Arial" w:cs="Arial"/>
        </w:rPr>
      </w:pPr>
      <w:r w:rsidRPr="00C61356">
        <w:rPr>
          <w:rFonts w:ascii="Arial" w:hAnsi="Arial" w:cs="Arial"/>
        </w:rPr>
        <w:t>In accordance with RCW </w:t>
      </w:r>
      <w:hyperlink r:id="rId98" w:history="1">
        <w:r w:rsidRPr="00C61356">
          <w:rPr>
            <w:rStyle w:val="Hyperlink"/>
            <w:rFonts w:ascii="Arial" w:hAnsi="Arial" w:cs="Arial"/>
            <w:b/>
            <w:bCs/>
          </w:rPr>
          <w:t>41.06.022</w:t>
        </w:r>
      </w:hyperlink>
      <w:r w:rsidRPr="00C61356">
        <w:rPr>
          <w:rFonts w:ascii="Arial" w:hAnsi="Arial" w:cs="Arial"/>
        </w:rPr>
        <w:t>, a manager or managerial employee is defined as the employee of a position that:</w:t>
      </w:r>
    </w:p>
    <w:p w14:paraId="7A05543C" w14:textId="77777777" w:rsidR="00935A48" w:rsidRPr="00C61356" w:rsidRDefault="00935A48" w:rsidP="00935A48">
      <w:pPr>
        <w:spacing w:after="0"/>
        <w:rPr>
          <w:rFonts w:ascii="Arial" w:hAnsi="Arial" w:cs="Arial"/>
        </w:rPr>
      </w:pPr>
      <w:r w:rsidRPr="00C61356">
        <w:rPr>
          <w:rFonts w:ascii="Arial" w:hAnsi="Arial" w:cs="Arial"/>
        </w:rPr>
        <w:t>(1) Formulates statewide policy or directs the work of an agency or agency subdivision;</w:t>
      </w:r>
    </w:p>
    <w:p w14:paraId="397D750A" w14:textId="77777777" w:rsidR="00935A48" w:rsidRPr="00C61356" w:rsidRDefault="00935A48" w:rsidP="00935A48">
      <w:pPr>
        <w:spacing w:after="0"/>
        <w:rPr>
          <w:rFonts w:ascii="Arial" w:hAnsi="Arial" w:cs="Arial"/>
        </w:rPr>
      </w:pPr>
      <w:r w:rsidRPr="00C61356">
        <w:rPr>
          <w:rFonts w:ascii="Arial" w:hAnsi="Arial" w:cs="Arial"/>
        </w:rPr>
        <w:t>(2) Administers one or more statewide policies or programs of an agency or agency subdivision;</w:t>
      </w:r>
    </w:p>
    <w:p w14:paraId="1CFFC233" w14:textId="77777777" w:rsidR="00935A48" w:rsidRPr="00C61356" w:rsidRDefault="00935A48" w:rsidP="00935A48">
      <w:pPr>
        <w:spacing w:after="0"/>
        <w:rPr>
          <w:rFonts w:ascii="Arial" w:hAnsi="Arial" w:cs="Arial"/>
        </w:rPr>
      </w:pPr>
      <w:r w:rsidRPr="00C61356">
        <w:rPr>
          <w:rFonts w:ascii="Arial" w:hAnsi="Arial" w:cs="Arial"/>
        </w:rPr>
        <w:t>(3) Manages, administers and controls a local branch office of an agency or an agency subdivision, including the physical, financial or personnel resources;</w:t>
      </w:r>
    </w:p>
    <w:p w14:paraId="1AC9CF88" w14:textId="77777777" w:rsidR="00935A48" w:rsidRPr="00C61356" w:rsidRDefault="00935A48" w:rsidP="00935A48">
      <w:pPr>
        <w:spacing w:after="0"/>
        <w:rPr>
          <w:rFonts w:ascii="Arial" w:hAnsi="Arial" w:cs="Arial"/>
        </w:rPr>
      </w:pPr>
      <w:r w:rsidRPr="00C61356">
        <w:rPr>
          <w:rFonts w:ascii="Arial" w:hAnsi="Arial" w:cs="Arial"/>
        </w:rPr>
        <w:t>(4) Has substantial responsibility in personnel administration, legislative relations, public information or the preparation and administration of budgets; and/or</w:t>
      </w:r>
    </w:p>
    <w:p w14:paraId="2E3E7507" w14:textId="64CCB242" w:rsidR="00935A48" w:rsidRPr="00C61356" w:rsidRDefault="00935A48" w:rsidP="00935A48">
      <w:pPr>
        <w:spacing w:after="0"/>
        <w:rPr>
          <w:rFonts w:ascii="Arial" w:hAnsi="Arial" w:cs="Arial"/>
        </w:rPr>
      </w:pPr>
      <w:r w:rsidRPr="00C61356">
        <w:rPr>
          <w:rFonts w:ascii="Arial" w:hAnsi="Arial" w:cs="Arial"/>
        </w:rPr>
        <w:t>(5) Functions above the first level of supervision and exercises authority that is not merely routine or clerical in nature and requires the consistent use of independent judgment.</w:t>
      </w:r>
      <w:bookmarkStart w:id="27" w:name="357-58-040"/>
      <w:bookmarkEnd w:id="27"/>
    </w:p>
    <w:p w14:paraId="7BF99759" w14:textId="77777777" w:rsidR="006B6441" w:rsidRPr="00C61356" w:rsidRDefault="006B6441" w:rsidP="00F66F77">
      <w:pPr>
        <w:spacing w:before="240" w:line="240" w:lineRule="auto"/>
        <w:rPr>
          <w:rFonts w:ascii="Arial" w:hAnsi="Arial" w:cs="Arial"/>
        </w:rPr>
      </w:pPr>
      <w:r w:rsidRPr="00C61356">
        <w:rPr>
          <w:rFonts w:ascii="Arial" w:hAnsi="Arial" w:cs="Arial"/>
          <w:u w:val="single"/>
        </w:rPr>
        <w:t>AMENDATORY SECTION</w:t>
      </w:r>
    </w:p>
    <w:p w14:paraId="1E59C401" w14:textId="77777777" w:rsidR="006B6441" w:rsidRPr="00C61356" w:rsidRDefault="006B6441" w:rsidP="008817CE">
      <w:pPr>
        <w:spacing w:before="240" w:after="0"/>
        <w:rPr>
          <w:rFonts w:ascii="Arial" w:hAnsi="Arial" w:cs="Arial"/>
        </w:rPr>
      </w:pPr>
      <w:r w:rsidRPr="00C61356">
        <w:rPr>
          <w:rFonts w:ascii="Arial" w:hAnsi="Arial" w:cs="Arial"/>
          <w:b/>
        </w:rPr>
        <w:t>WAC 357-58-</w:t>
      </w:r>
      <w:proofErr w:type="gramStart"/>
      <w:r w:rsidRPr="00C61356">
        <w:rPr>
          <w:rFonts w:ascii="Arial" w:hAnsi="Arial" w:cs="Arial"/>
          <w:b/>
        </w:rPr>
        <w:t>040</w:t>
      </w:r>
      <w:r w:rsidRPr="00C61356">
        <w:rPr>
          <w:rFonts w:ascii="Arial" w:hAnsi="Arial" w:cs="Arial"/>
        </w:rPr>
        <w:t xml:space="preserve">  </w:t>
      </w:r>
      <w:r w:rsidRPr="00C61356">
        <w:rPr>
          <w:rFonts w:ascii="Arial" w:hAnsi="Arial" w:cs="Arial"/>
          <w:b/>
        </w:rPr>
        <w:t>Which</w:t>
      </w:r>
      <w:proofErr w:type="gramEnd"/>
      <w:r w:rsidRPr="00C61356">
        <w:rPr>
          <w:rFonts w:ascii="Arial" w:hAnsi="Arial" w:cs="Arial"/>
          <w:b/>
        </w:rPr>
        <w:t xml:space="preserve"> manager positions or managerial employees are excluded from WMS and not covered by chapter 357-58 WAC?</w:t>
      </w:r>
      <w:r w:rsidRPr="00C61356">
        <w:rPr>
          <w:rFonts w:ascii="Arial" w:hAnsi="Arial" w:cs="Arial"/>
        </w:rPr>
        <w:t xml:space="preserve">  </w:t>
      </w:r>
    </w:p>
    <w:p w14:paraId="310B36F0" w14:textId="77777777" w:rsidR="006B6441" w:rsidRPr="00C61356" w:rsidRDefault="006B6441" w:rsidP="008817CE">
      <w:pPr>
        <w:spacing w:after="0"/>
        <w:rPr>
          <w:rFonts w:ascii="Arial" w:hAnsi="Arial" w:cs="Arial"/>
        </w:rPr>
      </w:pPr>
      <w:r w:rsidRPr="00C61356">
        <w:rPr>
          <w:rFonts w:ascii="Arial" w:hAnsi="Arial" w:cs="Arial"/>
        </w:rPr>
        <w:t>The following manager positions or managerial employees are excluded from WMS and not covered by chapter 357-58 WAC:</w:t>
      </w:r>
    </w:p>
    <w:p w14:paraId="16475EB2" w14:textId="77777777" w:rsidR="006B6441" w:rsidRPr="00C61356" w:rsidRDefault="006B6441" w:rsidP="006B6441">
      <w:pPr>
        <w:ind w:firstLine="720"/>
        <w:rPr>
          <w:rFonts w:ascii="Arial" w:hAnsi="Arial" w:cs="Arial"/>
        </w:rPr>
      </w:pPr>
      <w:r w:rsidRPr="00C61356">
        <w:rPr>
          <w:rFonts w:ascii="Arial" w:hAnsi="Arial" w:cs="Arial"/>
        </w:rPr>
        <w:t xml:space="preserve">(1) Manager positions or managerial employees that are exempt from civil service </w:t>
      </w:r>
      <w:r w:rsidRPr="00C61356">
        <w:rPr>
          <w:rFonts w:ascii="Arial" w:hAnsi="Arial" w:cs="Arial"/>
          <w:u w:val="single"/>
        </w:rPr>
        <w:t>in accordance with RCW 41.06.022</w:t>
      </w:r>
      <w:r w:rsidRPr="00C61356">
        <w:rPr>
          <w:rFonts w:ascii="Arial" w:hAnsi="Arial" w:cs="Arial"/>
        </w:rPr>
        <w:t>;</w:t>
      </w:r>
    </w:p>
    <w:p w14:paraId="4B088D68" w14:textId="77777777" w:rsidR="006B6441" w:rsidRPr="00C61356" w:rsidRDefault="006B6441" w:rsidP="006B6441">
      <w:pPr>
        <w:ind w:firstLine="720"/>
        <w:rPr>
          <w:rFonts w:ascii="Arial" w:hAnsi="Arial" w:cs="Arial"/>
        </w:rPr>
      </w:pPr>
      <w:r w:rsidRPr="00C61356">
        <w:rPr>
          <w:rFonts w:ascii="Arial" w:hAnsi="Arial" w:cs="Arial"/>
        </w:rPr>
        <w:t>(2) Manager positions or managerial employees that are included in professional structures; and</w:t>
      </w:r>
    </w:p>
    <w:p w14:paraId="2225B835" w14:textId="77777777" w:rsidR="006B6441" w:rsidRPr="00C61356" w:rsidRDefault="006B6441" w:rsidP="006B6441">
      <w:pPr>
        <w:ind w:firstLine="720"/>
        <w:rPr>
          <w:rFonts w:ascii="Arial" w:hAnsi="Arial" w:cs="Arial"/>
        </w:rPr>
      </w:pPr>
      <w:r w:rsidRPr="00C61356">
        <w:rPr>
          <w:rFonts w:ascii="Arial" w:hAnsi="Arial" w:cs="Arial"/>
        </w:rPr>
        <w:t>(3) Manager positions or managerial employees of institutions of higher education and related boards.</w:t>
      </w:r>
    </w:p>
    <w:p w14:paraId="41149A09" w14:textId="77777777" w:rsidR="00141F89" w:rsidRPr="00C61356" w:rsidRDefault="00141F89" w:rsidP="004835E8">
      <w:pPr>
        <w:rPr>
          <w:rFonts w:ascii="Arial" w:hAnsi="Arial" w:cs="Arial"/>
        </w:rPr>
      </w:pPr>
    </w:p>
    <w:p w14:paraId="59DB2BA3" w14:textId="38E122BB" w:rsidR="0019120A" w:rsidRPr="00F66F77" w:rsidRDefault="0019120A" w:rsidP="004835E8">
      <w:pPr>
        <w:pStyle w:val="Heading1"/>
        <w:rPr>
          <w:rFonts w:cs="Arial"/>
          <w:szCs w:val="22"/>
          <w:u w:val="single"/>
        </w:rPr>
      </w:pPr>
      <w:r w:rsidRPr="00F66F77">
        <w:rPr>
          <w:rFonts w:cs="Arial"/>
          <w:szCs w:val="22"/>
          <w:u w:val="single"/>
        </w:rPr>
        <w:t>Item #</w:t>
      </w:r>
      <w:r w:rsidR="004668B3">
        <w:rPr>
          <w:rFonts w:cs="Arial"/>
          <w:szCs w:val="22"/>
          <w:u w:val="single"/>
        </w:rPr>
        <w:t>4</w:t>
      </w:r>
      <w:r w:rsidR="00DF14EA" w:rsidRPr="00F66F77">
        <w:rPr>
          <w:rFonts w:cs="Arial"/>
          <w:szCs w:val="22"/>
          <w:u w:val="single"/>
        </w:rPr>
        <w:t xml:space="preserve"> -</w:t>
      </w:r>
      <w:r w:rsidRPr="00F66F77">
        <w:rPr>
          <w:rFonts w:cs="Arial"/>
          <w:szCs w:val="22"/>
          <w:u w:val="single"/>
        </w:rPr>
        <w:t xml:space="preserve"> Health Labor Emergency Standards Act (HELSA)</w:t>
      </w:r>
      <w:r w:rsidR="00CF1014" w:rsidRPr="00F66F77">
        <w:rPr>
          <w:rFonts w:cs="Arial"/>
          <w:szCs w:val="22"/>
          <w:u w:val="single"/>
        </w:rPr>
        <w:t xml:space="preserve"> </w:t>
      </w:r>
    </w:p>
    <w:p w14:paraId="51B622BC" w14:textId="77777777" w:rsidR="00F66F77" w:rsidRDefault="00F66F77" w:rsidP="0019120A">
      <w:pPr>
        <w:spacing w:after="0" w:line="240" w:lineRule="auto"/>
        <w:rPr>
          <w:rStyle w:val="Heading2Char"/>
          <w:b w:val="0"/>
          <w:bCs/>
        </w:rPr>
      </w:pPr>
    </w:p>
    <w:p w14:paraId="6618BBA1" w14:textId="56609161" w:rsidR="0019120A" w:rsidRPr="00C61356" w:rsidRDefault="0019120A" w:rsidP="0019120A">
      <w:pPr>
        <w:spacing w:after="0" w:line="240" w:lineRule="auto"/>
        <w:rPr>
          <w:rFonts w:ascii="Arial" w:hAnsi="Arial" w:cs="Arial"/>
          <w:bCs/>
        </w:rPr>
      </w:pPr>
      <w:r w:rsidRPr="00C61356">
        <w:rPr>
          <w:rStyle w:val="Heading2Char"/>
        </w:rPr>
        <w:lastRenderedPageBreak/>
        <w:t>Staff note:</w:t>
      </w:r>
      <w:r w:rsidRPr="00C61356">
        <w:rPr>
          <w:rFonts w:ascii="Arial" w:hAnsi="Arial" w:cs="Arial"/>
          <w:bCs/>
        </w:rPr>
        <w:t xml:space="preserve"> </w:t>
      </w:r>
      <w:r w:rsidRPr="00C61356">
        <w:rPr>
          <w:rFonts w:ascii="Arial" w:eastAsia="Calibri" w:hAnsi="Arial" w:cs="Arial"/>
        </w:rPr>
        <w:t xml:space="preserve">Health Emergency Labor Standards Act (HELSA) codified as </w:t>
      </w:r>
      <w:hyperlink r:id="rId99" w:history="1">
        <w:r w:rsidRPr="00C61356">
          <w:rPr>
            <w:rFonts w:ascii="Arial" w:eastAsia="Calibri" w:hAnsi="Arial" w:cs="Arial"/>
            <w:color w:val="0563C1"/>
            <w:u w:val="single"/>
          </w:rPr>
          <w:t>RCW 49.17.062</w:t>
        </w:r>
      </w:hyperlink>
      <w:r w:rsidRPr="00C61356">
        <w:rPr>
          <w:rFonts w:ascii="Arial" w:eastAsia="Calibri" w:hAnsi="Arial" w:cs="Arial"/>
          <w:color w:val="0563C1"/>
        </w:rPr>
        <w:t xml:space="preserve"> </w:t>
      </w:r>
      <w:r w:rsidRPr="00C61356">
        <w:rPr>
          <w:rFonts w:ascii="Arial" w:eastAsia="Calibri" w:hAnsi="Arial" w:cs="Arial"/>
        </w:rPr>
        <w:t>states “during a public health emergency, no employer may discharge, permanently replace, or in any manner discriminate against an employee who is high risk as a result of the employee seeking accommodation that protects them from the risk of exposure to the infectious or contagious disease, or, if no accommodation is reasonable, utilizing all available leave options, including but not limited to leave without pay and unemployment insurance until completion of the public health emergency or accommodation is made available.” As a result of the passage of HELSA, amendments were made to Chapter 357-31 WAC effective July 1, 2022</w:t>
      </w:r>
      <w:r w:rsidR="009B6980" w:rsidRPr="00C61356">
        <w:rPr>
          <w:rFonts w:ascii="Arial" w:eastAsia="Calibri" w:hAnsi="Arial" w:cs="Arial"/>
        </w:rPr>
        <w:t>,</w:t>
      </w:r>
      <w:r w:rsidRPr="00C61356">
        <w:rPr>
          <w:rFonts w:ascii="Arial" w:eastAsia="Calibri" w:hAnsi="Arial" w:cs="Arial"/>
        </w:rPr>
        <w:t xml:space="preserve"> to allow high-risk employees, as defined in RCW </w:t>
      </w:r>
      <w:hyperlink r:id="rId100" w:history="1">
        <w:r w:rsidRPr="00C61356">
          <w:rPr>
            <w:rFonts w:ascii="Arial" w:eastAsia="Calibri" w:hAnsi="Arial" w:cs="Arial"/>
            <w:b/>
            <w:bCs/>
            <w:color w:val="0563C1"/>
            <w:u w:val="single"/>
          </w:rPr>
          <w:t>49.17.062</w:t>
        </w:r>
      </w:hyperlink>
      <w:r w:rsidRPr="00C61356">
        <w:rPr>
          <w:rFonts w:ascii="Arial" w:eastAsia="Calibri" w:hAnsi="Arial" w:cs="Arial"/>
        </w:rPr>
        <w:t xml:space="preserve">, to utilize leave if no accommodation is reasonable </w:t>
      </w:r>
      <w:bookmarkStart w:id="28" w:name="_Hlk115268095"/>
      <w:r w:rsidRPr="00C61356">
        <w:rPr>
          <w:rFonts w:ascii="Arial" w:eastAsia="Calibri" w:hAnsi="Arial" w:cs="Arial"/>
        </w:rPr>
        <w:t xml:space="preserve">during a public health emergency as defined in RCW 49.17.062. </w:t>
      </w:r>
      <w:bookmarkEnd w:id="28"/>
    </w:p>
    <w:p w14:paraId="5DE2F491" w14:textId="0A7F4166" w:rsidR="0019120A" w:rsidRPr="00C61356" w:rsidRDefault="0019120A" w:rsidP="0019120A">
      <w:pPr>
        <w:spacing w:after="0" w:line="240" w:lineRule="auto"/>
        <w:rPr>
          <w:rFonts w:ascii="Arial" w:eastAsia="Calibri" w:hAnsi="Arial" w:cs="Arial"/>
        </w:rPr>
      </w:pPr>
    </w:p>
    <w:p w14:paraId="66CD39C9" w14:textId="245E8A18" w:rsidR="0019120A" w:rsidRPr="00C61356" w:rsidRDefault="0019120A" w:rsidP="0019120A">
      <w:pPr>
        <w:spacing w:after="0" w:line="240" w:lineRule="auto"/>
        <w:rPr>
          <w:rFonts w:ascii="Arial" w:hAnsi="Arial" w:cs="Arial"/>
          <w:bCs/>
        </w:rPr>
      </w:pPr>
      <w:r w:rsidRPr="00C61356">
        <w:rPr>
          <w:rFonts w:ascii="Arial" w:eastAsia="Calibri" w:hAnsi="Arial" w:cs="Arial"/>
        </w:rPr>
        <w:t xml:space="preserve">Existing WAC language does not require a declared public health emergency, therefore, may be interpreted to allow for a high-risk employee to utilize all leave types as an accommodation if no other accommodation is reasonable </w:t>
      </w:r>
      <w:proofErr w:type="gramStart"/>
      <w:r w:rsidRPr="00C61356">
        <w:rPr>
          <w:rFonts w:ascii="Arial" w:eastAsia="Calibri" w:hAnsi="Arial" w:cs="Arial"/>
        </w:rPr>
        <w:t>as long as</w:t>
      </w:r>
      <w:proofErr w:type="gramEnd"/>
      <w:r w:rsidRPr="00C61356">
        <w:rPr>
          <w:rFonts w:ascii="Arial" w:eastAsia="Calibri" w:hAnsi="Arial" w:cs="Arial"/>
        </w:rPr>
        <w:t xml:space="preserve"> the employee meets the definition of being high-risk. A decision has been made to allow </w:t>
      </w:r>
      <w:r w:rsidR="00F310C5" w:rsidRPr="00C61356">
        <w:rPr>
          <w:rFonts w:ascii="Arial" w:eastAsia="Calibri" w:hAnsi="Arial" w:cs="Arial"/>
        </w:rPr>
        <w:t>a</w:t>
      </w:r>
      <w:r w:rsidR="00244F20" w:rsidRPr="00C61356">
        <w:rPr>
          <w:rFonts w:ascii="Arial" w:eastAsia="Calibri" w:hAnsi="Arial" w:cs="Arial"/>
        </w:rPr>
        <w:t>ny</w:t>
      </w:r>
      <w:r w:rsidR="00731E89" w:rsidRPr="00C61356">
        <w:rPr>
          <w:rFonts w:ascii="Arial" w:eastAsia="Calibri" w:hAnsi="Arial" w:cs="Arial"/>
        </w:rPr>
        <w:t xml:space="preserve"> high-risk</w:t>
      </w:r>
      <w:r w:rsidRPr="00C61356">
        <w:rPr>
          <w:rFonts w:ascii="Arial" w:eastAsia="Calibri" w:hAnsi="Arial" w:cs="Arial"/>
        </w:rPr>
        <w:t xml:space="preserve"> employee</w:t>
      </w:r>
      <w:r w:rsidR="007D637B" w:rsidRPr="00C61356">
        <w:rPr>
          <w:rFonts w:ascii="Arial" w:eastAsia="Calibri" w:hAnsi="Arial" w:cs="Arial"/>
        </w:rPr>
        <w:t xml:space="preserve"> outside of a declared public health emergency</w:t>
      </w:r>
      <w:r w:rsidR="00F310C5" w:rsidRPr="00C61356">
        <w:rPr>
          <w:rFonts w:ascii="Arial" w:eastAsia="Calibri" w:hAnsi="Arial" w:cs="Arial"/>
        </w:rPr>
        <w:t xml:space="preserve"> to utilize all accrued leave types when</w:t>
      </w:r>
      <w:r w:rsidRPr="00C61356">
        <w:rPr>
          <w:rFonts w:ascii="Arial" w:eastAsia="Calibri" w:hAnsi="Arial" w:cs="Arial"/>
        </w:rPr>
        <w:t xml:space="preserve"> </w:t>
      </w:r>
      <w:r w:rsidR="00F310C5" w:rsidRPr="00C61356">
        <w:rPr>
          <w:rFonts w:ascii="Arial" w:eastAsia="Calibri" w:hAnsi="Arial" w:cs="Arial"/>
        </w:rPr>
        <w:t>seeking a</w:t>
      </w:r>
      <w:r w:rsidR="00C6227A" w:rsidRPr="00C61356">
        <w:rPr>
          <w:rFonts w:ascii="Arial" w:eastAsia="Calibri" w:hAnsi="Arial" w:cs="Arial"/>
        </w:rPr>
        <w:t>n</w:t>
      </w:r>
      <w:r w:rsidR="00F310C5" w:rsidRPr="00C61356">
        <w:rPr>
          <w:rFonts w:ascii="Arial" w:eastAsia="Calibri" w:hAnsi="Arial" w:cs="Arial"/>
        </w:rPr>
        <w:t xml:space="preserve"> accommodation </w:t>
      </w:r>
      <w:r w:rsidRPr="00C61356">
        <w:rPr>
          <w:rFonts w:ascii="Arial" w:eastAsia="Calibri" w:hAnsi="Arial" w:cs="Arial"/>
        </w:rPr>
        <w:t>to protect themselves</w:t>
      </w:r>
      <w:r w:rsidR="00F310C5" w:rsidRPr="00C61356">
        <w:rPr>
          <w:rFonts w:ascii="Arial" w:eastAsia="Calibri" w:hAnsi="Arial" w:cs="Arial"/>
        </w:rPr>
        <w:t xml:space="preserve"> from risk of exposure to an infectious or contagious disease</w:t>
      </w:r>
      <w:r w:rsidRPr="00C61356">
        <w:rPr>
          <w:rFonts w:ascii="Arial" w:eastAsia="Calibri" w:hAnsi="Arial" w:cs="Arial"/>
        </w:rPr>
        <w:t xml:space="preserve"> if no accommodation is reasonable. However, the requirement for employers to approve leave without pay for a high-risk employee if no accommodation is reasonable will be limited to the duration of a declared public health emergency as defined in RCW 49.17.062. </w:t>
      </w:r>
    </w:p>
    <w:p w14:paraId="6A2ECF6D" w14:textId="7C8ADF7D" w:rsidR="0019120A" w:rsidRPr="00C61356" w:rsidRDefault="0019120A" w:rsidP="0019120A">
      <w:pPr>
        <w:spacing w:after="0" w:line="240" w:lineRule="auto"/>
        <w:rPr>
          <w:rFonts w:ascii="Arial" w:hAnsi="Arial" w:cs="Arial"/>
          <w:bCs/>
        </w:rPr>
      </w:pPr>
    </w:p>
    <w:p w14:paraId="20D868A8" w14:textId="59119D12" w:rsidR="0019120A" w:rsidRPr="00C61356" w:rsidRDefault="0019120A" w:rsidP="0019120A">
      <w:pPr>
        <w:spacing w:after="0" w:line="240" w:lineRule="auto"/>
        <w:rPr>
          <w:rFonts w:ascii="Arial" w:eastAsia="Calibri" w:hAnsi="Arial" w:cs="Arial"/>
        </w:rPr>
      </w:pPr>
      <w:r w:rsidRPr="00C61356">
        <w:rPr>
          <w:rFonts w:ascii="Arial" w:hAnsi="Arial" w:cs="Arial"/>
          <w:bCs/>
        </w:rPr>
        <w:t>Additionally, a policy decision was made to amend WAC 357-31-330(14) to remove the reference to coronavirus 2019 (COVID-19) and instead state the risk of exposure to an infectious or contagious disease to allow for consistent language within WAC. In determining whether to grant leave, an employer will continue to be able to consider current workload demands and business needs that require employees to perform their duties.</w:t>
      </w:r>
    </w:p>
    <w:p w14:paraId="2933C9A1" w14:textId="13C3A26B" w:rsidR="0019120A" w:rsidRPr="00C61356" w:rsidRDefault="0019120A" w:rsidP="0019120A">
      <w:pPr>
        <w:spacing w:after="0" w:line="240" w:lineRule="auto"/>
        <w:rPr>
          <w:rFonts w:ascii="Arial" w:hAnsi="Arial" w:cs="Arial"/>
          <w:bCs/>
        </w:rPr>
      </w:pPr>
    </w:p>
    <w:p w14:paraId="42CADBBD" w14:textId="1A12D72C" w:rsidR="0019120A" w:rsidRPr="00C61356" w:rsidRDefault="0019120A" w:rsidP="0019120A">
      <w:pPr>
        <w:spacing w:after="0" w:line="240" w:lineRule="auto"/>
        <w:rPr>
          <w:rFonts w:ascii="Arial" w:hAnsi="Arial" w:cs="Arial"/>
          <w:bCs/>
        </w:rPr>
      </w:pPr>
      <w:r w:rsidRPr="00C61356">
        <w:rPr>
          <w:rFonts w:ascii="Arial" w:hAnsi="Arial" w:cs="Arial"/>
          <w:bCs/>
        </w:rPr>
        <w:t>We are proposing to amend:</w:t>
      </w:r>
    </w:p>
    <w:p w14:paraId="5FD57F09" w14:textId="77777777" w:rsidR="006025D8" w:rsidRPr="00C61356" w:rsidRDefault="006025D8" w:rsidP="0019120A">
      <w:pPr>
        <w:spacing w:after="0" w:line="240" w:lineRule="auto"/>
        <w:rPr>
          <w:rFonts w:ascii="Arial" w:hAnsi="Arial" w:cs="Arial"/>
          <w:bCs/>
        </w:rPr>
      </w:pPr>
    </w:p>
    <w:p w14:paraId="7B5CA89D" w14:textId="53AAD098" w:rsidR="0019120A" w:rsidRPr="00C61356" w:rsidRDefault="0019120A" w:rsidP="000D0148">
      <w:pPr>
        <w:pStyle w:val="ListParagraph"/>
        <w:numPr>
          <w:ilvl w:val="0"/>
          <w:numId w:val="1"/>
        </w:numPr>
        <w:spacing w:after="0" w:line="240" w:lineRule="auto"/>
        <w:rPr>
          <w:rFonts w:ascii="Arial" w:hAnsi="Arial" w:cs="Arial"/>
          <w:bCs/>
        </w:rPr>
      </w:pPr>
      <w:r w:rsidRPr="00C61356">
        <w:rPr>
          <w:rFonts w:ascii="Arial" w:hAnsi="Arial" w:cs="Arial"/>
          <w:bCs/>
        </w:rPr>
        <w:t xml:space="preserve">WAC 357-31-027 to add subsection (8) to </w:t>
      </w:r>
      <w:r w:rsidR="00244F20" w:rsidRPr="00C61356">
        <w:rPr>
          <w:rFonts w:ascii="Arial" w:hAnsi="Arial" w:cs="Arial"/>
          <w:bCs/>
        </w:rPr>
        <w:t>require</w:t>
      </w:r>
      <w:r w:rsidRPr="00C61356">
        <w:rPr>
          <w:rFonts w:ascii="Arial" w:hAnsi="Arial" w:cs="Arial"/>
          <w:bCs/>
        </w:rPr>
        <w:t xml:space="preserve"> </w:t>
      </w:r>
      <w:r w:rsidR="00244F20" w:rsidRPr="00C61356">
        <w:rPr>
          <w:rFonts w:ascii="Arial" w:hAnsi="Arial" w:cs="Arial"/>
          <w:bCs/>
        </w:rPr>
        <w:t xml:space="preserve">that </w:t>
      </w:r>
      <w:r w:rsidRPr="00C61356">
        <w:rPr>
          <w:rFonts w:ascii="Arial" w:hAnsi="Arial" w:cs="Arial"/>
          <w:bCs/>
        </w:rPr>
        <w:t xml:space="preserve">a higher education employer must allow part-time </w:t>
      </w:r>
      <w:r w:rsidR="00731E89" w:rsidRPr="00C61356">
        <w:rPr>
          <w:rFonts w:ascii="Arial" w:hAnsi="Arial" w:cs="Arial"/>
          <w:bCs/>
        </w:rPr>
        <w:t xml:space="preserve">high-risk </w:t>
      </w:r>
      <w:r w:rsidRPr="00C61356">
        <w:rPr>
          <w:rFonts w:ascii="Arial" w:hAnsi="Arial" w:cs="Arial"/>
          <w:bCs/>
        </w:rPr>
        <w:t>employee</w:t>
      </w:r>
      <w:r w:rsidR="00AB0D78" w:rsidRPr="00C61356">
        <w:rPr>
          <w:rFonts w:ascii="Arial" w:hAnsi="Arial" w:cs="Arial"/>
          <w:bCs/>
        </w:rPr>
        <w:t xml:space="preserve"> </w:t>
      </w:r>
      <w:r w:rsidRPr="00C61356">
        <w:rPr>
          <w:rFonts w:ascii="Arial" w:hAnsi="Arial" w:cs="Arial"/>
          <w:bCs/>
        </w:rPr>
        <w:t>to utilize accrued holiday credit to protect themselves from risk of exposure to an infectious or contagious disease if no accommodation is reasonable</w:t>
      </w:r>
      <w:r w:rsidR="00244F20" w:rsidRPr="00C61356">
        <w:rPr>
          <w:rFonts w:ascii="Arial" w:hAnsi="Arial" w:cs="Arial"/>
          <w:bCs/>
        </w:rPr>
        <w:t xml:space="preserve"> besides the use of leave</w:t>
      </w:r>
      <w:r w:rsidRPr="00C61356">
        <w:rPr>
          <w:rFonts w:ascii="Arial" w:hAnsi="Arial" w:cs="Arial"/>
          <w:bCs/>
        </w:rPr>
        <w:t>. This WAC was inadvertently missed when the July 1, 2022</w:t>
      </w:r>
      <w:r w:rsidR="00AD4DA8" w:rsidRPr="00C61356">
        <w:rPr>
          <w:rFonts w:ascii="Arial" w:hAnsi="Arial" w:cs="Arial"/>
          <w:bCs/>
        </w:rPr>
        <w:t>,</w:t>
      </w:r>
      <w:r w:rsidRPr="00C61356">
        <w:rPr>
          <w:rFonts w:ascii="Arial" w:hAnsi="Arial" w:cs="Arial"/>
          <w:bCs/>
        </w:rPr>
        <w:t xml:space="preserve"> amendments were </w:t>
      </w:r>
      <w:r w:rsidR="00244F20" w:rsidRPr="00C61356">
        <w:rPr>
          <w:rFonts w:ascii="Arial" w:hAnsi="Arial" w:cs="Arial"/>
          <w:bCs/>
        </w:rPr>
        <w:t>adopted</w:t>
      </w:r>
      <w:r w:rsidRPr="00C61356">
        <w:rPr>
          <w:rFonts w:ascii="Arial" w:hAnsi="Arial" w:cs="Arial"/>
          <w:bCs/>
        </w:rPr>
        <w:t>.</w:t>
      </w:r>
    </w:p>
    <w:p w14:paraId="6BB20955" w14:textId="4184D0BA" w:rsidR="007D637B" w:rsidRPr="00C61356" w:rsidRDefault="007D637B" w:rsidP="000D0148">
      <w:pPr>
        <w:pStyle w:val="ListParagraph"/>
        <w:numPr>
          <w:ilvl w:val="0"/>
          <w:numId w:val="1"/>
        </w:numPr>
        <w:spacing w:after="0" w:line="240" w:lineRule="auto"/>
        <w:contextualSpacing w:val="0"/>
        <w:rPr>
          <w:rFonts w:ascii="Arial" w:hAnsi="Arial" w:cs="Arial"/>
          <w:bCs/>
        </w:rPr>
      </w:pPr>
      <w:r w:rsidRPr="00C61356">
        <w:rPr>
          <w:rFonts w:ascii="Arial" w:hAnsi="Arial" w:cs="Arial"/>
          <w:bCs/>
        </w:rPr>
        <w:t>WAC 357-31-070(f) to clarify an employer must approve a</w:t>
      </w:r>
      <w:r w:rsidR="00244F20" w:rsidRPr="00C61356">
        <w:rPr>
          <w:rFonts w:ascii="Arial" w:hAnsi="Arial" w:cs="Arial"/>
          <w:bCs/>
        </w:rPr>
        <w:t>ny</w:t>
      </w:r>
      <w:r w:rsidR="00731E89" w:rsidRPr="00C61356">
        <w:rPr>
          <w:rFonts w:ascii="Arial" w:hAnsi="Arial" w:cs="Arial"/>
          <w:bCs/>
        </w:rPr>
        <w:t xml:space="preserve"> high-risk</w:t>
      </w:r>
      <w:r w:rsidRPr="00C61356">
        <w:rPr>
          <w:rFonts w:ascii="Arial" w:hAnsi="Arial" w:cs="Arial"/>
          <w:bCs/>
        </w:rPr>
        <w:t xml:space="preserve"> employee</w:t>
      </w:r>
      <w:r w:rsidR="00244F20" w:rsidRPr="00C61356">
        <w:rPr>
          <w:rFonts w:ascii="Arial" w:hAnsi="Arial" w:cs="Arial"/>
          <w:bCs/>
        </w:rPr>
        <w:t>’</w:t>
      </w:r>
      <w:r w:rsidRPr="00C61356">
        <w:rPr>
          <w:rFonts w:ascii="Arial" w:hAnsi="Arial" w:cs="Arial"/>
          <w:bCs/>
        </w:rPr>
        <w:t xml:space="preserve">s request to use </w:t>
      </w:r>
      <w:r w:rsidR="00D638B9" w:rsidRPr="00C61356">
        <w:rPr>
          <w:rFonts w:ascii="Arial" w:hAnsi="Arial" w:cs="Arial"/>
          <w:bCs/>
        </w:rPr>
        <w:t xml:space="preserve">their </w:t>
      </w:r>
      <w:r w:rsidRPr="00C61356">
        <w:rPr>
          <w:rFonts w:ascii="Arial" w:hAnsi="Arial" w:cs="Arial"/>
          <w:bCs/>
        </w:rPr>
        <w:t>personal holiday when</w:t>
      </w:r>
      <w:r w:rsidR="00D638B9" w:rsidRPr="00C61356">
        <w:rPr>
          <w:rFonts w:ascii="Arial" w:hAnsi="Arial" w:cs="Arial"/>
          <w:bCs/>
        </w:rPr>
        <w:t xml:space="preserve"> the</w:t>
      </w:r>
      <w:r w:rsidRPr="00C61356">
        <w:rPr>
          <w:rFonts w:ascii="Arial" w:hAnsi="Arial" w:cs="Arial"/>
          <w:bCs/>
        </w:rPr>
        <w:t xml:space="preserve"> employee is seeking a</w:t>
      </w:r>
      <w:r w:rsidR="00C6227A" w:rsidRPr="00C61356">
        <w:rPr>
          <w:rFonts w:ascii="Arial" w:hAnsi="Arial" w:cs="Arial"/>
          <w:bCs/>
        </w:rPr>
        <w:t>n</w:t>
      </w:r>
      <w:r w:rsidRPr="00C61356">
        <w:rPr>
          <w:rFonts w:ascii="Arial" w:hAnsi="Arial" w:cs="Arial"/>
          <w:bCs/>
        </w:rPr>
        <w:t xml:space="preserve"> accommodation to protect themselves from the risk of exposure to an infectious or contagious disease if the employer determines no other accommodation is reasonable besides the use of leave.</w:t>
      </w:r>
      <w:r w:rsidR="00D638B9" w:rsidRPr="00C61356">
        <w:rPr>
          <w:rFonts w:ascii="Arial" w:hAnsi="Arial" w:cs="Arial"/>
          <w:bCs/>
        </w:rPr>
        <w:t xml:space="preserve"> </w:t>
      </w:r>
      <w:r w:rsidR="00795DB1" w:rsidRPr="00C61356">
        <w:rPr>
          <w:rFonts w:ascii="Arial" w:hAnsi="Arial" w:cs="Arial"/>
          <w:bCs/>
        </w:rPr>
        <w:t>A high-risk employee is no longer limited to the definition of an employee who is high-risk as defined in RCW 49.17.062.</w:t>
      </w:r>
    </w:p>
    <w:p w14:paraId="2CBD8FC3" w14:textId="797AECA4" w:rsidR="0019120A" w:rsidRPr="00C61356" w:rsidRDefault="0019120A" w:rsidP="000D0148">
      <w:pPr>
        <w:pStyle w:val="ListParagraph"/>
        <w:numPr>
          <w:ilvl w:val="0"/>
          <w:numId w:val="1"/>
        </w:numPr>
        <w:spacing w:after="0" w:line="240" w:lineRule="auto"/>
        <w:rPr>
          <w:rFonts w:ascii="Arial" w:hAnsi="Arial" w:cs="Arial"/>
          <w:bCs/>
        </w:rPr>
      </w:pPr>
      <w:r w:rsidRPr="00C61356">
        <w:rPr>
          <w:rFonts w:ascii="Arial" w:hAnsi="Arial" w:cs="Arial"/>
          <w:bCs/>
        </w:rPr>
        <w:t xml:space="preserve">WAC 357-31-100(9) to clarify an employer must have a policy that </w:t>
      </w:r>
      <w:r w:rsidR="007D637B" w:rsidRPr="00C61356">
        <w:rPr>
          <w:rFonts w:ascii="Arial" w:hAnsi="Arial" w:cs="Arial"/>
          <w:bCs/>
        </w:rPr>
        <w:t>allows a</w:t>
      </w:r>
      <w:r w:rsidR="00795DB1" w:rsidRPr="00C61356">
        <w:rPr>
          <w:rFonts w:ascii="Arial" w:hAnsi="Arial" w:cs="Arial"/>
          <w:bCs/>
        </w:rPr>
        <w:t>ny</w:t>
      </w:r>
      <w:r w:rsidR="00A116C5" w:rsidRPr="00C61356">
        <w:rPr>
          <w:rFonts w:ascii="Arial" w:hAnsi="Arial" w:cs="Arial"/>
          <w:bCs/>
        </w:rPr>
        <w:t xml:space="preserve"> high-risk</w:t>
      </w:r>
      <w:r w:rsidR="007D637B" w:rsidRPr="00C61356">
        <w:rPr>
          <w:rFonts w:ascii="Arial" w:hAnsi="Arial" w:cs="Arial"/>
          <w:bCs/>
        </w:rPr>
        <w:t xml:space="preserve"> </w:t>
      </w:r>
      <w:r w:rsidRPr="00C61356">
        <w:rPr>
          <w:rFonts w:ascii="Arial" w:hAnsi="Arial" w:cs="Arial"/>
          <w:bCs/>
        </w:rPr>
        <w:t>employee</w:t>
      </w:r>
      <w:r w:rsidR="00F310C5" w:rsidRPr="00C61356">
        <w:rPr>
          <w:rFonts w:ascii="Arial" w:hAnsi="Arial" w:cs="Arial"/>
          <w:bCs/>
        </w:rPr>
        <w:t xml:space="preserve"> </w:t>
      </w:r>
      <w:r w:rsidR="00795DB1" w:rsidRPr="00C61356">
        <w:rPr>
          <w:rFonts w:ascii="Arial" w:hAnsi="Arial" w:cs="Arial"/>
          <w:bCs/>
        </w:rPr>
        <w:t xml:space="preserve">who is </w:t>
      </w:r>
      <w:r w:rsidRPr="00C61356">
        <w:rPr>
          <w:rFonts w:ascii="Arial" w:hAnsi="Arial" w:cs="Arial"/>
          <w:bCs/>
        </w:rPr>
        <w:t>seeking a</w:t>
      </w:r>
      <w:r w:rsidR="00C6227A" w:rsidRPr="00C61356">
        <w:rPr>
          <w:rFonts w:ascii="Arial" w:hAnsi="Arial" w:cs="Arial"/>
          <w:bCs/>
        </w:rPr>
        <w:t>n</w:t>
      </w:r>
      <w:r w:rsidRPr="00C61356">
        <w:rPr>
          <w:rFonts w:ascii="Arial" w:hAnsi="Arial" w:cs="Arial"/>
          <w:bCs/>
        </w:rPr>
        <w:t xml:space="preserve"> accommodation to protect themselves from the risk of exposure to an infectious or contagious disease</w:t>
      </w:r>
      <w:r w:rsidR="00795DB1" w:rsidRPr="00C61356">
        <w:rPr>
          <w:rFonts w:ascii="Arial" w:hAnsi="Arial" w:cs="Arial"/>
          <w:bCs/>
        </w:rPr>
        <w:t xml:space="preserve"> and is requesting to use their accrued leave, must be allowed to do so </w:t>
      </w:r>
      <w:r w:rsidRPr="00C61356">
        <w:rPr>
          <w:rFonts w:ascii="Arial" w:hAnsi="Arial" w:cs="Arial"/>
          <w:bCs/>
        </w:rPr>
        <w:t xml:space="preserve"> if the employer determines no other accommodation is reasonable besides the use of leave.</w:t>
      </w:r>
      <w:r w:rsidR="004E77DB" w:rsidRPr="00C61356">
        <w:rPr>
          <w:rFonts w:ascii="Arial" w:hAnsi="Arial" w:cs="Arial"/>
          <w:bCs/>
        </w:rPr>
        <w:t xml:space="preserve"> </w:t>
      </w:r>
      <w:bookmarkStart w:id="29" w:name="_Hlk145335852"/>
      <w:r w:rsidR="00795DB1" w:rsidRPr="00C61356">
        <w:rPr>
          <w:rFonts w:ascii="Arial" w:hAnsi="Arial" w:cs="Arial"/>
          <w:bCs/>
        </w:rPr>
        <w:t>A high-risk employee is no longer limited to the definition of an employee who is high-risk as defined in RCW 49.17.062.</w:t>
      </w:r>
      <w:r w:rsidR="00795DB1" w:rsidRPr="00C61356" w:rsidDel="00B00034">
        <w:rPr>
          <w:rFonts w:ascii="Arial" w:hAnsi="Arial" w:cs="Arial"/>
          <w:bCs/>
        </w:rPr>
        <w:t xml:space="preserve"> </w:t>
      </w:r>
      <w:bookmarkEnd w:id="29"/>
      <w:r w:rsidR="00795DB1" w:rsidRPr="00C61356">
        <w:rPr>
          <w:rFonts w:ascii="Arial" w:hAnsi="Arial" w:cs="Arial"/>
          <w:bCs/>
        </w:rPr>
        <w:t>Also, to remove the requirement for an employer to grant leave without pay for this reason and new language is added to state the</w:t>
      </w:r>
      <w:r w:rsidR="004E77DB" w:rsidRPr="00C61356">
        <w:rPr>
          <w:rFonts w:ascii="Arial" w:hAnsi="Arial" w:cs="Arial"/>
          <w:bCs/>
        </w:rPr>
        <w:t xml:space="preserve"> employer may require that the employees request be supported by verification or documentation.</w:t>
      </w:r>
    </w:p>
    <w:p w14:paraId="7F410813" w14:textId="1D448618" w:rsidR="0019120A" w:rsidRPr="00C61356" w:rsidRDefault="0019120A" w:rsidP="000D0148">
      <w:pPr>
        <w:pStyle w:val="ListParagraph"/>
        <w:numPr>
          <w:ilvl w:val="0"/>
          <w:numId w:val="1"/>
        </w:numPr>
        <w:spacing w:after="0" w:line="240" w:lineRule="auto"/>
        <w:rPr>
          <w:rFonts w:ascii="Arial" w:hAnsi="Arial" w:cs="Arial"/>
          <w:bCs/>
        </w:rPr>
      </w:pPr>
      <w:r w:rsidRPr="00C61356">
        <w:rPr>
          <w:rFonts w:ascii="Arial" w:hAnsi="Arial" w:cs="Arial"/>
          <w:bCs/>
        </w:rPr>
        <w:lastRenderedPageBreak/>
        <w:t xml:space="preserve">WAC 357-31-100 to add a subsection </w:t>
      </w:r>
      <w:r w:rsidR="00C026A3" w:rsidRPr="00C61356">
        <w:rPr>
          <w:rFonts w:ascii="Arial" w:hAnsi="Arial" w:cs="Arial"/>
          <w:bCs/>
        </w:rPr>
        <w:t xml:space="preserve">(10) </w:t>
      </w:r>
      <w:r w:rsidRPr="00C61356">
        <w:rPr>
          <w:rFonts w:ascii="Arial" w:hAnsi="Arial" w:cs="Arial"/>
          <w:bCs/>
        </w:rPr>
        <w:t xml:space="preserve">to </w:t>
      </w:r>
      <w:r w:rsidR="00C026A3" w:rsidRPr="00C61356">
        <w:rPr>
          <w:rFonts w:ascii="Arial" w:hAnsi="Arial" w:cs="Arial"/>
          <w:bCs/>
        </w:rPr>
        <w:t>require</w:t>
      </w:r>
      <w:r w:rsidRPr="00C61356">
        <w:rPr>
          <w:rFonts w:ascii="Arial" w:hAnsi="Arial" w:cs="Arial"/>
          <w:bCs/>
        </w:rPr>
        <w:t xml:space="preserve"> an employer</w:t>
      </w:r>
      <w:r w:rsidR="00C026A3" w:rsidRPr="00C61356">
        <w:rPr>
          <w:rFonts w:ascii="Arial" w:hAnsi="Arial" w:cs="Arial"/>
          <w:bCs/>
        </w:rPr>
        <w:t>’s leave policy</w:t>
      </w:r>
      <w:r w:rsidRPr="00C61356">
        <w:rPr>
          <w:rFonts w:ascii="Arial" w:hAnsi="Arial" w:cs="Arial"/>
          <w:bCs/>
        </w:rPr>
        <w:t xml:space="preserve"> allow a high-risk employee seeking a</w:t>
      </w:r>
      <w:r w:rsidR="004E77DB" w:rsidRPr="00C61356">
        <w:rPr>
          <w:rFonts w:ascii="Arial" w:hAnsi="Arial" w:cs="Arial"/>
          <w:bCs/>
        </w:rPr>
        <w:t>n</w:t>
      </w:r>
      <w:r w:rsidRPr="00C61356">
        <w:rPr>
          <w:rFonts w:ascii="Arial" w:hAnsi="Arial" w:cs="Arial"/>
          <w:bCs/>
        </w:rPr>
        <w:t xml:space="preserve"> accommodation to protect themselves from risk of exposure to an infectious or contagious disease during a public health emergency to use leave without pay if the employer determines no other accommodation is reasonable beside the use of leave in accordance with RCW 49.17.062.</w:t>
      </w:r>
    </w:p>
    <w:p w14:paraId="5CBD24BC" w14:textId="55205D1C" w:rsidR="007D637B" w:rsidRPr="00C61356" w:rsidRDefault="007D637B" w:rsidP="000D0148">
      <w:pPr>
        <w:pStyle w:val="ListParagraph"/>
        <w:numPr>
          <w:ilvl w:val="0"/>
          <w:numId w:val="1"/>
        </w:numPr>
        <w:spacing w:after="0" w:line="240" w:lineRule="auto"/>
        <w:rPr>
          <w:rFonts w:ascii="Arial" w:hAnsi="Arial" w:cs="Arial"/>
          <w:bCs/>
        </w:rPr>
      </w:pPr>
      <w:r w:rsidRPr="00C61356">
        <w:rPr>
          <w:rFonts w:ascii="Arial" w:hAnsi="Arial" w:cs="Arial"/>
          <w:bCs/>
        </w:rPr>
        <w:t>WAC 357-31-130</w:t>
      </w:r>
      <w:r w:rsidR="001C736E" w:rsidRPr="00C61356">
        <w:rPr>
          <w:rFonts w:ascii="Arial" w:hAnsi="Arial" w:cs="Arial"/>
          <w:bCs/>
        </w:rPr>
        <w:t>(3) to clarify an employer must allow a</w:t>
      </w:r>
      <w:r w:rsidR="00085023" w:rsidRPr="00C61356">
        <w:rPr>
          <w:rFonts w:ascii="Arial" w:hAnsi="Arial" w:cs="Arial"/>
          <w:bCs/>
        </w:rPr>
        <w:t>ny</w:t>
      </w:r>
      <w:r w:rsidR="00A116C5" w:rsidRPr="00C61356">
        <w:rPr>
          <w:rFonts w:ascii="Arial" w:hAnsi="Arial" w:cs="Arial"/>
          <w:bCs/>
        </w:rPr>
        <w:t xml:space="preserve"> high-risk</w:t>
      </w:r>
      <w:r w:rsidR="001C736E" w:rsidRPr="00C61356">
        <w:rPr>
          <w:rFonts w:ascii="Arial" w:hAnsi="Arial" w:cs="Arial"/>
          <w:bCs/>
        </w:rPr>
        <w:t xml:space="preserve"> employee to use their accrued sick leave when an employee is seeking a</w:t>
      </w:r>
      <w:r w:rsidR="00C6227A" w:rsidRPr="00C61356">
        <w:rPr>
          <w:rFonts w:ascii="Arial" w:hAnsi="Arial" w:cs="Arial"/>
          <w:bCs/>
        </w:rPr>
        <w:t>n</w:t>
      </w:r>
      <w:r w:rsidR="001C736E" w:rsidRPr="00C61356">
        <w:rPr>
          <w:rFonts w:ascii="Arial" w:hAnsi="Arial" w:cs="Arial"/>
          <w:bCs/>
        </w:rPr>
        <w:t xml:space="preserve"> accommodation to protect themselves from the risk of exposure to an infectious or contagious disease if the employer determines no other accommodation is reasonable besides the use of leave. </w:t>
      </w:r>
      <w:r w:rsidR="00085023" w:rsidRPr="00C61356">
        <w:rPr>
          <w:rFonts w:ascii="Arial" w:hAnsi="Arial" w:cs="Arial"/>
          <w:bCs/>
        </w:rPr>
        <w:t>A high-risk employee is no longer limited to the definition of an employee who is high-risk as defined in RCW 49.17.062.</w:t>
      </w:r>
    </w:p>
    <w:p w14:paraId="6641ADFC" w14:textId="68D8F878" w:rsidR="001C736E" w:rsidRPr="00C61356" w:rsidRDefault="001C736E" w:rsidP="000D0148">
      <w:pPr>
        <w:pStyle w:val="ListParagraph"/>
        <w:numPr>
          <w:ilvl w:val="0"/>
          <w:numId w:val="1"/>
        </w:numPr>
        <w:spacing w:after="0" w:line="240" w:lineRule="auto"/>
        <w:rPr>
          <w:rFonts w:ascii="Arial" w:hAnsi="Arial" w:cs="Arial"/>
          <w:bCs/>
        </w:rPr>
      </w:pPr>
      <w:r w:rsidRPr="00C61356">
        <w:rPr>
          <w:rFonts w:ascii="Arial" w:hAnsi="Arial" w:cs="Arial"/>
          <w:bCs/>
        </w:rPr>
        <w:t>WAC 357-31-200</w:t>
      </w:r>
      <w:r w:rsidR="00085023" w:rsidRPr="00C61356">
        <w:rPr>
          <w:rFonts w:ascii="Arial" w:hAnsi="Arial" w:cs="Arial"/>
          <w:bCs/>
        </w:rPr>
        <w:t>(1)</w:t>
      </w:r>
      <w:r w:rsidRPr="00C61356">
        <w:rPr>
          <w:rFonts w:ascii="Arial" w:hAnsi="Arial" w:cs="Arial"/>
          <w:bCs/>
        </w:rPr>
        <w:t>(h) to clarify an employer must grant a</w:t>
      </w:r>
      <w:r w:rsidR="00085023" w:rsidRPr="00C61356">
        <w:rPr>
          <w:rFonts w:ascii="Arial" w:hAnsi="Arial" w:cs="Arial"/>
          <w:bCs/>
        </w:rPr>
        <w:t>ny</w:t>
      </w:r>
      <w:r w:rsidR="00A116C5" w:rsidRPr="00C61356">
        <w:rPr>
          <w:rFonts w:ascii="Arial" w:hAnsi="Arial" w:cs="Arial"/>
          <w:bCs/>
        </w:rPr>
        <w:t xml:space="preserve"> high-risk</w:t>
      </w:r>
      <w:r w:rsidRPr="00C61356">
        <w:rPr>
          <w:rFonts w:ascii="Arial" w:hAnsi="Arial" w:cs="Arial"/>
          <w:bCs/>
        </w:rPr>
        <w:t xml:space="preserve"> employee </w:t>
      </w:r>
      <w:r w:rsidR="00085023" w:rsidRPr="00C61356">
        <w:rPr>
          <w:rFonts w:ascii="Arial" w:hAnsi="Arial" w:cs="Arial"/>
          <w:bCs/>
        </w:rPr>
        <w:t xml:space="preserve">who requests </w:t>
      </w:r>
      <w:r w:rsidRPr="00C61356">
        <w:rPr>
          <w:rFonts w:ascii="Arial" w:hAnsi="Arial" w:cs="Arial"/>
          <w:bCs/>
        </w:rPr>
        <w:t xml:space="preserve">to use their vacation leave when </w:t>
      </w:r>
      <w:r w:rsidR="00085023" w:rsidRPr="00C61356">
        <w:rPr>
          <w:rFonts w:ascii="Arial" w:hAnsi="Arial" w:cs="Arial"/>
          <w:bCs/>
        </w:rPr>
        <w:t>the</w:t>
      </w:r>
      <w:r w:rsidRPr="00C61356">
        <w:rPr>
          <w:rFonts w:ascii="Arial" w:hAnsi="Arial" w:cs="Arial"/>
          <w:bCs/>
        </w:rPr>
        <w:t xml:space="preserve"> employee is seeking a</w:t>
      </w:r>
      <w:r w:rsidR="00C6227A" w:rsidRPr="00C61356">
        <w:rPr>
          <w:rFonts w:ascii="Arial" w:hAnsi="Arial" w:cs="Arial"/>
          <w:bCs/>
        </w:rPr>
        <w:t>n</w:t>
      </w:r>
      <w:r w:rsidRPr="00C61356">
        <w:rPr>
          <w:rFonts w:ascii="Arial" w:hAnsi="Arial" w:cs="Arial"/>
          <w:bCs/>
        </w:rPr>
        <w:t xml:space="preserve"> accommodation to protect themselves from the risk of exposure to an infectious or contagious disease if the employer determines no other accommodation is reasonable besides the use of leave.</w:t>
      </w:r>
      <w:r w:rsidR="00085023" w:rsidRPr="00C61356">
        <w:rPr>
          <w:rFonts w:ascii="Arial" w:hAnsi="Arial" w:cs="Arial"/>
          <w:bCs/>
        </w:rPr>
        <w:t xml:space="preserve"> A high-risk employee is no longer limited to the definition of an employee who is high-risk as defined in RCW 49.17.062.</w:t>
      </w:r>
    </w:p>
    <w:p w14:paraId="40B03A34" w14:textId="66C104CF" w:rsidR="001C736E" w:rsidRPr="00C61356" w:rsidRDefault="001C736E" w:rsidP="000D0148">
      <w:pPr>
        <w:pStyle w:val="ListParagraph"/>
        <w:numPr>
          <w:ilvl w:val="0"/>
          <w:numId w:val="1"/>
        </w:numPr>
        <w:spacing w:after="0" w:line="240" w:lineRule="auto"/>
        <w:rPr>
          <w:rFonts w:ascii="Arial" w:hAnsi="Arial" w:cs="Arial"/>
          <w:bCs/>
        </w:rPr>
      </w:pPr>
      <w:r w:rsidRPr="00C61356">
        <w:rPr>
          <w:rFonts w:ascii="Arial" w:hAnsi="Arial" w:cs="Arial"/>
          <w:bCs/>
        </w:rPr>
        <w:t>WAC 357-31-230(8) to clarify an employer must grant a</w:t>
      </w:r>
      <w:r w:rsidR="00085023" w:rsidRPr="00C61356">
        <w:rPr>
          <w:rFonts w:ascii="Arial" w:hAnsi="Arial" w:cs="Arial"/>
          <w:bCs/>
        </w:rPr>
        <w:t>ny</w:t>
      </w:r>
      <w:r w:rsidR="00A116C5" w:rsidRPr="00C61356">
        <w:rPr>
          <w:rFonts w:ascii="Arial" w:hAnsi="Arial" w:cs="Arial"/>
          <w:bCs/>
        </w:rPr>
        <w:t xml:space="preserve"> high-risk</w:t>
      </w:r>
      <w:r w:rsidRPr="00C61356">
        <w:rPr>
          <w:rFonts w:ascii="Arial" w:hAnsi="Arial" w:cs="Arial"/>
          <w:bCs/>
        </w:rPr>
        <w:t xml:space="preserve"> employee </w:t>
      </w:r>
      <w:r w:rsidR="00085023" w:rsidRPr="00C61356">
        <w:rPr>
          <w:rFonts w:ascii="Arial" w:hAnsi="Arial" w:cs="Arial"/>
          <w:bCs/>
        </w:rPr>
        <w:t xml:space="preserve">who requests </w:t>
      </w:r>
      <w:r w:rsidRPr="00C61356">
        <w:rPr>
          <w:rFonts w:ascii="Arial" w:hAnsi="Arial" w:cs="Arial"/>
          <w:bCs/>
        </w:rPr>
        <w:t xml:space="preserve">to use their accrued compensatory time when </w:t>
      </w:r>
      <w:r w:rsidR="00085023" w:rsidRPr="00C61356">
        <w:rPr>
          <w:rFonts w:ascii="Arial" w:hAnsi="Arial" w:cs="Arial"/>
          <w:bCs/>
        </w:rPr>
        <w:t>the</w:t>
      </w:r>
      <w:r w:rsidRPr="00C61356">
        <w:rPr>
          <w:rFonts w:ascii="Arial" w:hAnsi="Arial" w:cs="Arial"/>
          <w:bCs/>
        </w:rPr>
        <w:t xml:space="preserve"> employee is seeking a</w:t>
      </w:r>
      <w:r w:rsidR="00C6227A" w:rsidRPr="00C61356">
        <w:rPr>
          <w:rFonts w:ascii="Arial" w:hAnsi="Arial" w:cs="Arial"/>
          <w:bCs/>
        </w:rPr>
        <w:t>n</w:t>
      </w:r>
      <w:r w:rsidRPr="00C61356">
        <w:rPr>
          <w:rFonts w:ascii="Arial" w:hAnsi="Arial" w:cs="Arial"/>
          <w:bCs/>
        </w:rPr>
        <w:t xml:space="preserve"> accommodation to protect themselves from the risk of exposure to an infectious or contagious disease if the employer determines no other accommodation is reasonable besides the use of leave. </w:t>
      </w:r>
      <w:r w:rsidR="00085023" w:rsidRPr="00C61356">
        <w:rPr>
          <w:rFonts w:ascii="Arial" w:hAnsi="Arial" w:cs="Arial"/>
          <w:bCs/>
        </w:rPr>
        <w:t>A high-risk employee is no longer limited to the definition of an employee who is high-risk as defined in RCW 49.17.062.</w:t>
      </w:r>
    </w:p>
    <w:p w14:paraId="7CDFB1BE" w14:textId="59244BB3" w:rsidR="0019120A" w:rsidRPr="00C61356" w:rsidRDefault="0019120A" w:rsidP="000D0148">
      <w:pPr>
        <w:pStyle w:val="ListParagraph"/>
        <w:numPr>
          <w:ilvl w:val="0"/>
          <w:numId w:val="1"/>
        </w:numPr>
        <w:spacing w:after="0" w:line="240" w:lineRule="auto"/>
        <w:rPr>
          <w:rFonts w:ascii="Arial" w:hAnsi="Arial" w:cs="Arial"/>
          <w:bCs/>
        </w:rPr>
      </w:pPr>
      <w:r w:rsidRPr="00C61356">
        <w:rPr>
          <w:rFonts w:ascii="Arial" w:hAnsi="Arial" w:cs="Arial"/>
          <w:bCs/>
        </w:rPr>
        <w:t>WAC 357-31-327(6) to clarify an employer must allow a high-risk employee seeking a</w:t>
      </w:r>
      <w:r w:rsidR="00C6227A" w:rsidRPr="00C61356">
        <w:rPr>
          <w:rFonts w:ascii="Arial" w:hAnsi="Arial" w:cs="Arial"/>
          <w:bCs/>
        </w:rPr>
        <w:t>n</w:t>
      </w:r>
      <w:r w:rsidRPr="00C61356">
        <w:rPr>
          <w:rFonts w:ascii="Arial" w:hAnsi="Arial" w:cs="Arial"/>
          <w:bCs/>
        </w:rPr>
        <w:t xml:space="preserve"> accommodation to protect themselves from the risk of exposure to an infectious or contagious disease during a public health emergency to use leave without pay if the employer determines no other accommodation is reasonable besides the use of leave in accordance with RCW 49.17.062.</w:t>
      </w:r>
    </w:p>
    <w:p w14:paraId="4C63F05C" w14:textId="15E264A6" w:rsidR="001C736E" w:rsidRPr="00C61356" w:rsidRDefault="0019120A" w:rsidP="000D0148">
      <w:pPr>
        <w:pStyle w:val="ListParagraph"/>
        <w:numPr>
          <w:ilvl w:val="0"/>
          <w:numId w:val="1"/>
        </w:numPr>
        <w:spacing w:after="0" w:line="240" w:lineRule="auto"/>
        <w:rPr>
          <w:rFonts w:ascii="Arial" w:hAnsi="Arial" w:cs="Arial"/>
          <w:bCs/>
        </w:rPr>
      </w:pPr>
      <w:r w:rsidRPr="00C61356">
        <w:rPr>
          <w:rFonts w:ascii="Arial" w:hAnsi="Arial" w:cs="Arial"/>
          <w:bCs/>
        </w:rPr>
        <w:t xml:space="preserve">WAC 357-31-330(14) to </w:t>
      </w:r>
      <w:r w:rsidR="00085023" w:rsidRPr="00C61356">
        <w:rPr>
          <w:rFonts w:ascii="Arial" w:hAnsi="Arial" w:cs="Arial"/>
          <w:bCs/>
        </w:rPr>
        <w:t>expand when an employer may grant LWOP to risks related to</w:t>
      </w:r>
      <w:r w:rsidRPr="00C61356">
        <w:rPr>
          <w:rFonts w:ascii="Arial" w:hAnsi="Arial" w:cs="Arial"/>
          <w:bCs/>
        </w:rPr>
        <w:t xml:space="preserve"> exposure to an infectious or contagious disease</w:t>
      </w:r>
      <w:r w:rsidR="00C6227A" w:rsidRPr="00C61356">
        <w:rPr>
          <w:rFonts w:ascii="Arial" w:hAnsi="Arial" w:cs="Arial"/>
          <w:bCs/>
        </w:rPr>
        <w:t>.</w:t>
      </w:r>
    </w:p>
    <w:p w14:paraId="54D7F786" w14:textId="293BF9EA" w:rsidR="005F6603" w:rsidRPr="00C61356" w:rsidRDefault="005F6603" w:rsidP="000D0148">
      <w:pPr>
        <w:pStyle w:val="ListParagraph"/>
        <w:numPr>
          <w:ilvl w:val="0"/>
          <w:numId w:val="1"/>
        </w:numPr>
        <w:spacing w:after="0" w:line="240" w:lineRule="auto"/>
        <w:rPr>
          <w:rFonts w:ascii="Arial" w:hAnsi="Arial" w:cs="Arial"/>
          <w:bCs/>
        </w:rPr>
      </w:pPr>
      <w:r w:rsidRPr="00C61356">
        <w:rPr>
          <w:rFonts w:ascii="Arial" w:hAnsi="Arial" w:cs="Arial"/>
        </w:rPr>
        <w:t>WAC 357-31-567</w:t>
      </w:r>
      <w:r w:rsidR="00085023" w:rsidRPr="00C61356">
        <w:rPr>
          <w:rFonts w:ascii="Arial" w:hAnsi="Arial" w:cs="Arial"/>
        </w:rPr>
        <w:t>(1)</w:t>
      </w:r>
      <w:r w:rsidRPr="00C61356">
        <w:rPr>
          <w:rFonts w:ascii="Arial" w:hAnsi="Arial" w:cs="Arial"/>
        </w:rPr>
        <w:t>(d) to clarify an employer must grant a</w:t>
      </w:r>
      <w:r w:rsidR="00085023" w:rsidRPr="00C61356">
        <w:rPr>
          <w:rFonts w:ascii="Arial" w:hAnsi="Arial" w:cs="Arial"/>
        </w:rPr>
        <w:t>ny</w:t>
      </w:r>
      <w:r w:rsidR="00A116C5" w:rsidRPr="00C61356">
        <w:rPr>
          <w:rFonts w:ascii="Arial" w:hAnsi="Arial" w:cs="Arial"/>
        </w:rPr>
        <w:t xml:space="preserve"> high-risk</w:t>
      </w:r>
      <w:r w:rsidRPr="00C61356">
        <w:rPr>
          <w:rFonts w:ascii="Arial" w:hAnsi="Arial" w:cs="Arial"/>
        </w:rPr>
        <w:t xml:space="preserve"> employee  use </w:t>
      </w:r>
      <w:r w:rsidR="00085023" w:rsidRPr="00C61356">
        <w:rPr>
          <w:rFonts w:ascii="Arial" w:hAnsi="Arial" w:cs="Arial"/>
        </w:rPr>
        <w:t xml:space="preserve">of </w:t>
      </w:r>
      <w:r w:rsidRPr="00C61356">
        <w:rPr>
          <w:rFonts w:ascii="Arial" w:hAnsi="Arial" w:cs="Arial"/>
        </w:rPr>
        <w:t>their recognition leave when an employee is seeking a</w:t>
      </w:r>
      <w:r w:rsidR="00C6227A" w:rsidRPr="00C61356">
        <w:rPr>
          <w:rFonts w:ascii="Arial" w:hAnsi="Arial" w:cs="Arial"/>
        </w:rPr>
        <w:t>n</w:t>
      </w:r>
      <w:r w:rsidRPr="00C61356">
        <w:rPr>
          <w:rFonts w:ascii="Arial" w:hAnsi="Arial" w:cs="Arial"/>
        </w:rPr>
        <w:t xml:space="preserve"> accommodation to protect themselves from the risk of exposure to an infectious or contagious disease if the employer determines no other accommodation is reasonable besides the use of leave. </w:t>
      </w:r>
      <w:r w:rsidR="00085023" w:rsidRPr="00C61356">
        <w:rPr>
          <w:rFonts w:ascii="Arial" w:hAnsi="Arial" w:cs="Arial"/>
          <w:bCs/>
        </w:rPr>
        <w:t>A high-risk employee is no longer limited to the definition of an employee who is high-risk as defined in RCW 49.17.062.</w:t>
      </w:r>
    </w:p>
    <w:p w14:paraId="797ECB5C" w14:textId="77777777" w:rsidR="00DB43AC" w:rsidRPr="00C61356" w:rsidRDefault="00DB43AC" w:rsidP="0019120A">
      <w:pPr>
        <w:spacing w:after="0" w:line="240" w:lineRule="auto"/>
        <w:rPr>
          <w:rFonts w:ascii="Arial" w:hAnsi="Arial" w:cs="Arial"/>
          <w:highlight w:val="green"/>
        </w:rPr>
      </w:pPr>
    </w:p>
    <w:p w14:paraId="73311929" w14:textId="35B0E360" w:rsidR="009B6980" w:rsidRPr="00C61356" w:rsidRDefault="00DB43AC" w:rsidP="0019120A">
      <w:pPr>
        <w:spacing w:after="0" w:line="240" w:lineRule="auto"/>
        <w:rPr>
          <w:rFonts w:ascii="Arial" w:hAnsi="Arial" w:cs="Arial"/>
          <w:bCs/>
        </w:rPr>
      </w:pPr>
      <w:r w:rsidRPr="00C61356">
        <w:rPr>
          <w:rFonts w:ascii="Arial" w:hAnsi="Arial" w:cs="Arial"/>
          <w:highlight w:val="green"/>
        </w:rPr>
        <w:t>The highlighted green text reflects proposed amendments to WAC 357-31-100 as proposed in rule item #</w:t>
      </w:r>
      <w:r w:rsidR="000C487D">
        <w:rPr>
          <w:rFonts w:ascii="Arial" w:hAnsi="Arial" w:cs="Arial"/>
          <w:highlight w:val="green"/>
        </w:rPr>
        <w:t>6</w:t>
      </w:r>
      <w:r w:rsidRPr="00C61356">
        <w:rPr>
          <w:rFonts w:ascii="Arial" w:hAnsi="Arial" w:cs="Arial"/>
          <w:highlight w:val="green"/>
        </w:rPr>
        <w:t>.</w:t>
      </w:r>
    </w:p>
    <w:p w14:paraId="6A96BF3D" w14:textId="77777777" w:rsidR="00DB43AC" w:rsidRDefault="00DB43AC" w:rsidP="0019120A">
      <w:pPr>
        <w:spacing w:after="0" w:line="240" w:lineRule="auto"/>
        <w:rPr>
          <w:rFonts w:ascii="Arial" w:hAnsi="Arial" w:cs="Arial"/>
          <w:bCs/>
        </w:rPr>
      </w:pPr>
    </w:p>
    <w:p w14:paraId="4E96711B" w14:textId="20343383" w:rsidR="00586E1C" w:rsidRPr="00C61356" w:rsidRDefault="00870E8F" w:rsidP="00F66F77">
      <w:pPr>
        <w:spacing w:after="0" w:line="240" w:lineRule="auto"/>
        <w:rPr>
          <w:rFonts w:ascii="Arial" w:hAnsi="Arial" w:cs="Arial"/>
          <w:bCs/>
        </w:rPr>
      </w:pPr>
      <w:r>
        <w:rPr>
          <w:rFonts w:ascii="Arial" w:hAnsi="Arial" w:cs="Arial"/>
        </w:rPr>
        <w:t xml:space="preserve">We are planning to propose permanent adoption at the November 14, 2023, Director’s meeting. </w:t>
      </w:r>
    </w:p>
    <w:p w14:paraId="2045FF21" w14:textId="1D842779" w:rsidR="00F66F77" w:rsidRDefault="0019120A" w:rsidP="0019120A">
      <w:pPr>
        <w:spacing w:after="0" w:line="240" w:lineRule="auto"/>
        <w:rPr>
          <w:rFonts w:ascii="Arial" w:hAnsi="Arial" w:cs="Arial"/>
          <w:bCs/>
        </w:rPr>
      </w:pPr>
      <w:r w:rsidRPr="00C61356">
        <w:rPr>
          <w:rFonts w:ascii="Arial" w:hAnsi="Arial" w:cs="Arial"/>
          <w:bCs/>
        </w:rPr>
        <w:t>Lead: Brittany Trujillo</w:t>
      </w:r>
    </w:p>
    <w:p w14:paraId="54ED2703" w14:textId="77777777" w:rsidR="00F66F77" w:rsidRPr="00C61356" w:rsidRDefault="00F66F77" w:rsidP="0019120A">
      <w:pPr>
        <w:spacing w:after="0" w:line="240" w:lineRule="auto"/>
        <w:rPr>
          <w:rFonts w:ascii="Arial" w:hAnsi="Arial" w:cs="Arial"/>
          <w:bCs/>
        </w:rPr>
      </w:pPr>
    </w:p>
    <w:p w14:paraId="09695167" w14:textId="0D08AA6E" w:rsidR="0019120A" w:rsidRPr="00C61356" w:rsidRDefault="0019120A" w:rsidP="0019120A">
      <w:pPr>
        <w:spacing w:after="0" w:line="240" w:lineRule="auto"/>
        <w:rPr>
          <w:rFonts w:ascii="Arial" w:eastAsiaTheme="minorEastAsia" w:hAnsi="Arial" w:cs="Arial"/>
        </w:rPr>
      </w:pPr>
      <w:r w:rsidRPr="00C61356">
        <w:rPr>
          <w:rFonts w:ascii="Arial" w:eastAsiaTheme="minorEastAsia" w:hAnsi="Arial" w:cs="Arial"/>
          <w:u w:val="single"/>
        </w:rPr>
        <w:t>AMENDATORY SECTION</w:t>
      </w:r>
      <w:r w:rsidRPr="00C61356">
        <w:rPr>
          <w:rFonts w:ascii="Arial" w:eastAsiaTheme="minorEastAsia" w:hAnsi="Arial" w:cs="Arial"/>
        </w:rPr>
        <w:t> </w:t>
      </w:r>
    </w:p>
    <w:p w14:paraId="49C96A87" w14:textId="77777777" w:rsidR="008C0027" w:rsidRPr="00C61356" w:rsidRDefault="0019120A" w:rsidP="004835E8">
      <w:pPr>
        <w:pStyle w:val="Heading3"/>
        <w:rPr>
          <w:rFonts w:cs="Arial"/>
          <w:szCs w:val="22"/>
        </w:rPr>
      </w:pPr>
      <w:r w:rsidRPr="00C61356">
        <w:rPr>
          <w:rFonts w:cs="Arial"/>
          <w:szCs w:val="22"/>
        </w:rPr>
        <w:t>WAC 357-31-</w:t>
      </w:r>
      <w:proofErr w:type="gramStart"/>
      <w:r w:rsidRPr="00C61356">
        <w:rPr>
          <w:rFonts w:cs="Arial"/>
          <w:szCs w:val="22"/>
        </w:rPr>
        <w:t>027  When</w:t>
      </w:r>
      <w:proofErr w:type="gramEnd"/>
      <w:r w:rsidRPr="00C61356">
        <w:rPr>
          <w:rFonts w:cs="Arial"/>
          <w:szCs w:val="22"/>
        </w:rPr>
        <w:t xml:space="preserve"> must a higher education employer allow a part-time employee to use accrued holiday credit?  </w:t>
      </w:r>
    </w:p>
    <w:p w14:paraId="3A9A403D" w14:textId="1F0CD162" w:rsidR="008C0027" w:rsidRPr="00C61356" w:rsidRDefault="008C0027" w:rsidP="008C0027">
      <w:pPr>
        <w:spacing w:after="0" w:line="240" w:lineRule="auto"/>
        <w:rPr>
          <w:rFonts w:ascii="Arial" w:eastAsia="Times New Roman" w:hAnsi="Arial" w:cs="Arial"/>
        </w:rPr>
      </w:pPr>
      <w:r w:rsidRPr="00C61356">
        <w:rPr>
          <w:rFonts w:ascii="Arial" w:hAnsi="Arial" w:cs="Arial"/>
        </w:rPr>
        <w:t>Higher education employers must allow a part-time employee as defined in WAC 357-01-2290(2) to use accrued holiday credit for the following reasons:</w:t>
      </w:r>
    </w:p>
    <w:p w14:paraId="4A9F24BF" w14:textId="77777777" w:rsidR="008C0027" w:rsidRPr="00C61356" w:rsidRDefault="008C0027" w:rsidP="008C0027">
      <w:pPr>
        <w:spacing w:line="240" w:lineRule="auto"/>
        <w:ind w:firstLine="720"/>
        <w:rPr>
          <w:rFonts w:ascii="Arial" w:hAnsi="Arial" w:cs="Arial"/>
        </w:rPr>
      </w:pPr>
      <w:r w:rsidRPr="00C61356">
        <w:rPr>
          <w:rFonts w:ascii="Arial" w:hAnsi="Arial" w:cs="Arial"/>
        </w:rPr>
        <w:lastRenderedPageBreak/>
        <w:t>(1) Employees must request to use accrued holiday credit in accordance with the employer's leave policy. When considering employees' requests to use accrued holiday credit, employers must consider their business needs and the wishes of the employee.</w:t>
      </w:r>
    </w:p>
    <w:p w14:paraId="5651A341" w14:textId="77777777" w:rsidR="008C0027" w:rsidRPr="00C61356" w:rsidRDefault="008C0027" w:rsidP="008C0027">
      <w:pPr>
        <w:spacing w:line="240" w:lineRule="auto"/>
        <w:ind w:firstLine="720"/>
        <w:rPr>
          <w:rFonts w:ascii="Arial" w:hAnsi="Arial" w:cs="Arial"/>
        </w:rPr>
      </w:pPr>
      <w:r w:rsidRPr="00C61356">
        <w:rPr>
          <w:rFonts w:ascii="Arial" w:hAnsi="Arial" w:cs="Arial"/>
        </w:rPr>
        <w:t>(2) An employee must be granted the use of accrued holiday credit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holiday credit may be subject to verification that the condition exists.</w:t>
      </w:r>
    </w:p>
    <w:p w14:paraId="14F0D5B9" w14:textId="77777777" w:rsidR="008C0027" w:rsidRPr="00C61356" w:rsidRDefault="008C0027" w:rsidP="008C0027">
      <w:pPr>
        <w:spacing w:line="240" w:lineRule="auto"/>
        <w:ind w:firstLine="720"/>
        <w:rPr>
          <w:rFonts w:ascii="Arial" w:hAnsi="Arial" w:cs="Arial"/>
        </w:rPr>
      </w:pPr>
      <w:r w:rsidRPr="00C61356">
        <w:rPr>
          <w:rFonts w:ascii="Arial" w:hAnsi="Arial" w:cs="Arial"/>
        </w:rPr>
        <w:t>(3) An employee must be granted the use of accrued holiday credit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7643DD44" w14:textId="77777777" w:rsidR="008C0027" w:rsidRPr="00C61356" w:rsidRDefault="008C0027" w:rsidP="008C0027">
      <w:pPr>
        <w:spacing w:line="240" w:lineRule="auto"/>
        <w:ind w:firstLine="720"/>
        <w:rPr>
          <w:rFonts w:ascii="Arial" w:hAnsi="Arial" w:cs="Arial"/>
        </w:rPr>
      </w:pPr>
      <w:r w:rsidRPr="00C61356">
        <w:rPr>
          <w:rFonts w:ascii="Arial" w:hAnsi="Arial" w:cs="Arial"/>
        </w:rPr>
        <w:t>(4) In accordance with WAC 357-31-373, an employee must be granted the use of accrued holiday credit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248C6959" w14:textId="77777777" w:rsidR="008C0027" w:rsidRPr="00C61356" w:rsidRDefault="008C0027" w:rsidP="008C0027">
      <w:pPr>
        <w:spacing w:line="240" w:lineRule="auto"/>
        <w:ind w:firstLine="720"/>
        <w:rPr>
          <w:rFonts w:ascii="Arial" w:hAnsi="Arial" w:cs="Arial"/>
        </w:rPr>
      </w:pPr>
      <w:r w:rsidRPr="00C61356">
        <w:rPr>
          <w:rFonts w:ascii="Arial" w:hAnsi="Arial" w:cs="Arial"/>
        </w:rPr>
        <w:t>(5) An employee must be granted the use of accrued holiday credit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RCW.</w:t>
      </w:r>
    </w:p>
    <w:p w14:paraId="39B247AF" w14:textId="77777777" w:rsidR="008C0027" w:rsidRPr="00C61356" w:rsidRDefault="008C0027" w:rsidP="008C0027">
      <w:pPr>
        <w:spacing w:line="240" w:lineRule="auto"/>
        <w:ind w:firstLine="720"/>
        <w:rPr>
          <w:rFonts w:ascii="Arial" w:hAnsi="Arial" w:cs="Arial"/>
        </w:rPr>
      </w:pPr>
      <w:r w:rsidRPr="00C61356">
        <w:rPr>
          <w:rFonts w:ascii="Arial" w:hAnsi="Arial" w:cs="Arial"/>
        </w:rPr>
        <w:t>(6) Employers may require that accumulated holiday credit be used before vacation leave is approved, except in those instances where this requirement would result in loss of accumulated vacation leave.</w:t>
      </w:r>
    </w:p>
    <w:p w14:paraId="0774E1F0" w14:textId="77777777" w:rsidR="008C0027" w:rsidRPr="00C61356" w:rsidRDefault="008C0027" w:rsidP="008C0027">
      <w:pPr>
        <w:spacing w:line="240" w:lineRule="auto"/>
        <w:ind w:firstLine="720"/>
        <w:rPr>
          <w:rFonts w:ascii="Arial" w:hAnsi="Arial" w:cs="Arial"/>
        </w:rPr>
      </w:pPr>
      <w:r w:rsidRPr="00C61356">
        <w:rPr>
          <w:rFonts w:ascii="Arial" w:hAnsi="Arial" w:cs="Arial"/>
        </w:rPr>
        <w:t>(7) If the employee requests to use their accrued holiday credit when granted a temporary leave of absence for legislative service in accordance with WAC 357-31-374(2).</w:t>
      </w:r>
    </w:p>
    <w:p w14:paraId="2A0C741A" w14:textId="77777777" w:rsidR="008C0027" w:rsidRPr="00C61356" w:rsidRDefault="008C0027" w:rsidP="00F66F77">
      <w:pPr>
        <w:spacing w:after="0" w:line="240" w:lineRule="auto"/>
        <w:ind w:firstLine="720"/>
        <w:rPr>
          <w:rFonts w:ascii="Arial" w:hAnsi="Arial" w:cs="Arial"/>
        </w:rPr>
      </w:pPr>
      <w:r w:rsidRPr="00C61356">
        <w:rPr>
          <w:rFonts w:ascii="Arial" w:hAnsi="Arial" w:cs="Arial"/>
          <w:u w:val="single"/>
        </w:rPr>
        <w:t>(8) When a high-risk employee seeks an accommodation to protect themselves from the risk of exposure to an infectious or contagious disease and the employer determines no other accommodation is reasonable besides the use of leave.</w:t>
      </w:r>
    </w:p>
    <w:p w14:paraId="2911252F" w14:textId="759152C1" w:rsidR="0019120A" w:rsidRPr="00C61356" w:rsidRDefault="0019120A" w:rsidP="00F66F77">
      <w:pPr>
        <w:spacing w:after="0" w:line="240" w:lineRule="auto"/>
        <w:rPr>
          <w:rFonts w:ascii="Arial" w:eastAsiaTheme="minorEastAsia" w:hAnsi="Arial" w:cs="Arial"/>
          <w:u w:val="single"/>
        </w:rPr>
      </w:pPr>
    </w:p>
    <w:p w14:paraId="13D32B9B" w14:textId="77777777" w:rsidR="00F66F77" w:rsidRDefault="00F66F77" w:rsidP="00F66F77">
      <w:pPr>
        <w:spacing w:after="0" w:line="240" w:lineRule="auto"/>
        <w:rPr>
          <w:rFonts w:ascii="Arial" w:eastAsiaTheme="minorEastAsia" w:hAnsi="Arial" w:cs="Arial"/>
          <w:u w:val="single"/>
        </w:rPr>
      </w:pPr>
    </w:p>
    <w:p w14:paraId="2FB8E5C3" w14:textId="0530954B" w:rsidR="007D637B" w:rsidRPr="00E77060" w:rsidRDefault="007D637B" w:rsidP="00E77060">
      <w:pPr>
        <w:rPr>
          <w:rFonts w:ascii="Arial" w:eastAsiaTheme="minorEastAsia" w:hAnsi="Arial" w:cs="Arial"/>
          <w:u w:val="single"/>
        </w:rPr>
      </w:pPr>
      <w:r w:rsidRPr="00C61356">
        <w:rPr>
          <w:rFonts w:ascii="Arial" w:eastAsiaTheme="minorEastAsia" w:hAnsi="Arial" w:cs="Arial"/>
          <w:u w:val="single"/>
        </w:rPr>
        <w:t>AMENDATORY SECTION</w:t>
      </w:r>
      <w:r w:rsidRPr="00C61356">
        <w:rPr>
          <w:rFonts w:ascii="Arial" w:eastAsiaTheme="minorEastAsia" w:hAnsi="Arial" w:cs="Arial"/>
        </w:rPr>
        <w:t> </w:t>
      </w:r>
    </w:p>
    <w:p w14:paraId="6353349E" w14:textId="77777777" w:rsidR="007D637B" w:rsidRPr="00C61356" w:rsidRDefault="007D637B" w:rsidP="004835E8">
      <w:pPr>
        <w:pStyle w:val="Heading3"/>
        <w:rPr>
          <w:rFonts w:cs="Arial"/>
          <w:szCs w:val="22"/>
        </w:rPr>
      </w:pPr>
      <w:r w:rsidRPr="00C61356">
        <w:rPr>
          <w:rFonts w:cs="Arial"/>
          <w:szCs w:val="22"/>
        </w:rPr>
        <w:t>WAC 357-31-070 When is an employer required to approve an employee's request to use a personal holiday?</w:t>
      </w:r>
    </w:p>
    <w:p w14:paraId="65286253" w14:textId="44ED3B40" w:rsidR="008C0027" w:rsidRPr="00C61356" w:rsidRDefault="008C0027" w:rsidP="004562E3">
      <w:pPr>
        <w:spacing w:line="240" w:lineRule="auto"/>
        <w:rPr>
          <w:rFonts w:ascii="Arial" w:hAnsi="Arial" w:cs="Arial"/>
        </w:rPr>
      </w:pPr>
      <w:bookmarkStart w:id="30" w:name="_Hlk129163189"/>
      <w:r w:rsidRPr="00C61356">
        <w:rPr>
          <w:rFonts w:ascii="Arial" w:hAnsi="Arial" w:cs="Arial"/>
        </w:rPr>
        <w:t xml:space="preserve"> (1) An employer must approve the use of a personal holiday as long as:</w:t>
      </w:r>
    </w:p>
    <w:p w14:paraId="59510436" w14:textId="77777777" w:rsidR="008C0027" w:rsidRPr="00C61356" w:rsidRDefault="008C0027" w:rsidP="004562E3">
      <w:pPr>
        <w:spacing w:line="240" w:lineRule="auto"/>
        <w:ind w:firstLine="720"/>
        <w:rPr>
          <w:rFonts w:ascii="Arial" w:hAnsi="Arial" w:cs="Arial"/>
        </w:rPr>
      </w:pPr>
      <w:r w:rsidRPr="00C61356">
        <w:rPr>
          <w:rFonts w:ascii="Arial" w:hAnsi="Arial" w:cs="Arial"/>
        </w:rPr>
        <w:t>(a) The employee is entitled to a personal holiday in accordance with RCW 1.16.050 and WAC 357-31-055;</w:t>
      </w:r>
    </w:p>
    <w:p w14:paraId="141B6157" w14:textId="77777777" w:rsidR="008C0027" w:rsidRPr="00C61356" w:rsidRDefault="008C0027" w:rsidP="004562E3">
      <w:pPr>
        <w:spacing w:line="240" w:lineRule="auto"/>
        <w:ind w:firstLine="720"/>
        <w:rPr>
          <w:rFonts w:ascii="Arial" w:hAnsi="Arial" w:cs="Arial"/>
        </w:rPr>
      </w:pPr>
      <w:r w:rsidRPr="00C61356">
        <w:rPr>
          <w:rFonts w:ascii="Arial" w:hAnsi="Arial" w:cs="Arial"/>
        </w:rPr>
        <w:t>(b) The employee has requested the personal holiday in accordance with the employer's leave procedures; and</w:t>
      </w:r>
    </w:p>
    <w:p w14:paraId="7971F249" w14:textId="77777777" w:rsidR="008C0027" w:rsidRPr="00C61356" w:rsidRDefault="008C0027" w:rsidP="004562E3">
      <w:pPr>
        <w:spacing w:line="240" w:lineRule="auto"/>
        <w:ind w:firstLine="720"/>
        <w:rPr>
          <w:rFonts w:ascii="Arial" w:hAnsi="Arial" w:cs="Arial"/>
        </w:rPr>
      </w:pPr>
      <w:r w:rsidRPr="00C61356">
        <w:rPr>
          <w:rFonts w:ascii="Arial" w:hAnsi="Arial" w:cs="Arial"/>
        </w:rPr>
        <w:lastRenderedPageBreak/>
        <w:t>(c) The employee's absence does not interfere with the operational needs of the employer.</w:t>
      </w:r>
    </w:p>
    <w:p w14:paraId="2368D6C1" w14:textId="77777777" w:rsidR="008C0027" w:rsidRPr="00C61356" w:rsidRDefault="008C0027" w:rsidP="004562E3">
      <w:pPr>
        <w:spacing w:line="240" w:lineRule="auto"/>
        <w:ind w:firstLine="720"/>
        <w:rPr>
          <w:rFonts w:ascii="Arial" w:hAnsi="Arial" w:cs="Arial"/>
        </w:rPr>
      </w:pPr>
      <w:r w:rsidRPr="00C61356">
        <w:rPr>
          <w:rFonts w:ascii="Arial" w:hAnsi="Arial" w:cs="Arial"/>
        </w:rPr>
        <w:t xml:space="preserve">(2) At any time, an employer must allow an employee to use part or </w:t>
      </w:r>
      <w:proofErr w:type="gramStart"/>
      <w:r w:rsidRPr="00C61356">
        <w:rPr>
          <w:rFonts w:ascii="Arial" w:hAnsi="Arial" w:cs="Arial"/>
        </w:rPr>
        <w:t>all of</w:t>
      </w:r>
      <w:proofErr w:type="gramEnd"/>
      <w:r w:rsidRPr="00C61356">
        <w:rPr>
          <w:rFonts w:ascii="Arial" w:hAnsi="Arial" w:cs="Arial"/>
        </w:rPr>
        <w:t xml:space="preserve"> the personal holiday for any of the following reasons:</w:t>
      </w:r>
    </w:p>
    <w:p w14:paraId="080363E3" w14:textId="77777777" w:rsidR="008C0027" w:rsidRPr="00C61356" w:rsidRDefault="008C0027" w:rsidP="004562E3">
      <w:pPr>
        <w:spacing w:line="240" w:lineRule="auto"/>
        <w:ind w:firstLine="720"/>
        <w:rPr>
          <w:rFonts w:ascii="Arial" w:hAnsi="Arial" w:cs="Arial"/>
        </w:rPr>
      </w:pPr>
      <w:r w:rsidRPr="00C61356">
        <w:rPr>
          <w:rFonts w:ascii="Arial" w:hAnsi="Arial" w:cs="Arial"/>
        </w:rPr>
        <w:t>(a) To care for a minor/dependent child with a health condition that requires treatment or supervision;</w:t>
      </w:r>
    </w:p>
    <w:p w14:paraId="051BB0AB" w14:textId="77777777" w:rsidR="008C0027" w:rsidRPr="00C61356" w:rsidRDefault="008C0027" w:rsidP="004562E3">
      <w:pPr>
        <w:spacing w:line="240" w:lineRule="auto"/>
        <w:ind w:firstLine="720"/>
        <w:rPr>
          <w:rFonts w:ascii="Arial" w:hAnsi="Arial" w:cs="Arial"/>
        </w:rPr>
      </w:pPr>
      <w:r w:rsidRPr="00C61356">
        <w:rPr>
          <w:rFonts w:ascii="Arial" w:hAnsi="Arial" w:cs="Arial"/>
        </w:rPr>
        <w:t>(b) To care for a spouse, registered domestic partner, parent, parent-in-law or grandparent of the employee who has a serious health condition or an emergency health condition;</w:t>
      </w:r>
    </w:p>
    <w:p w14:paraId="12554240" w14:textId="77777777" w:rsidR="008C0027" w:rsidRPr="00C61356" w:rsidRDefault="008C0027" w:rsidP="004562E3">
      <w:pPr>
        <w:spacing w:line="240" w:lineRule="auto"/>
        <w:ind w:firstLine="720"/>
        <w:rPr>
          <w:rFonts w:ascii="Arial" w:hAnsi="Arial" w:cs="Arial"/>
        </w:rPr>
      </w:pPr>
      <w:r w:rsidRPr="00C61356">
        <w:rPr>
          <w:rFonts w:ascii="Arial" w:hAnsi="Arial" w:cs="Arial"/>
        </w:rPr>
        <w:t>(c) If the employee or the employee's family member is a victim of domestic violence, sexual assault, or stalking as defined in RCW 49.76.020. An employer may require the request for leave under this section be supported by verification in accordance with WAC 357-31-730;</w:t>
      </w:r>
    </w:p>
    <w:p w14:paraId="6BDB5894" w14:textId="77777777" w:rsidR="008C0027" w:rsidRPr="00C61356" w:rsidRDefault="008C0027" w:rsidP="004562E3">
      <w:pPr>
        <w:spacing w:line="240" w:lineRule="auto"/>
        <w:ind w:firstLine="720"/>
        <w:rPr>
          <w:rFonts w:ascii="Arial" w:hAnsi="Arial" w:cs="Arial"/>
        </w:rPr>
      </w:pPr>
      <w:r w:rsidRPr="00C61356">
        <w:rPr>
          <w:rFonts w:ascii="Arial" w:hAnsi="Arial" w:cs="Arial"/>
        </w:rPr>
        <w:t>(d)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58E222F8" w14:textId="77777777" w:rsidR="008C0027" w:rsidRPr="00C61356" w:rsidRDefault="008C0027" w:rsidP="004562E3">
      <w:pPr>
        <w:spacing w:line="240" w:lineRule="auto"/>
        <w:ind w:firstLine="720"/>
        <w:rPr>
          <w:rFonts w:ascii="Arial" w:hAnsi="Arial" w:cs="Arial"/>
        </w:rPr>
      </w:pPr>
      <w:r w:rsidRPr="00C61356">
        <w:rPr>
          <w:rFonts w:ascii="Arial" w:hAnsi="Arial" w:cs="Arial"/>
        </w:rPr>
        <w:t>(e) If the employee requests to use their personal holiday as a supplemental benefit while receiving a partial wage replacement for paid family and/or medical leave under Title 50A RCW. Leave taken under this subsection may be subject to verification that the employee has been approved to receive benefits for paid family and/or medical leave under Title 50A RCW;</w:t>
      </w:r>
    </w:p>
    <w:p w14:paraId="76647203" w14:textId="77777777" w:rsidR="008C0027" w:rsidRPr="00C61356" w:rsidRDefault="008C0027" w:rsidP="004562E3">
      <w:pPr>
        <w:spacing w:line="240" w:lineRule="auto"/>
        <w:ind w:firstLine="720"/>
        <w:rPr>
          <w:rFonts w:ascii="Arial" w:hAnsi="Arial" w:cs="Arial"/>
        </w:rPr>
      </w:pPr>
      <w:r w:rsidRPr="00C61356">
        <w:rPr>
          <w:rFonts w:ascii="Arial" w:hAnsi="Arial" w:cs="Arial"/>
        </w:rPr>
        <w:t>(f) When a high-risk employee((</w:t>
      </w:r>
      <w:r w:rsidRPr="00C61356">
        <w:rPr>
          <w:rFonts w:ascii="Arial" w:hAnsi="Arial" w:cs="Arial"/>
          <w:strike/>
        </w:rPr>
        <w:t>, as defined in RCW 49.17.062,</w:t>
      </w:r>
      <w:r w:rsidRPr="00C61356">
        <w:rPr>
          <w:rFonts w:ascii="Arial" w:hAnsi="Arial" w:cs="Arial"/>
        </w:rPr>
        <w:t>)) seeks ((</w:t>
      </w:r>
      <w:r w:rsidRPr="00C61356">
        <w:rPr>
          <w:rFonts w:ascii="Arial" w:hAnsi="Arial" w:cs="Arial"/>
          <w:strike/>
        </w:rPr>
        <w:t>a reasonable</w:t>
      </w:r>
      <w:r w:rsidRPr="00C61356">
        <w:rPr>
          <w:rFonts w:ascii="Arial" w:hAnsi="Arial" w:cs="Arial"/>
        </w:rPr>
        <w:t xml:space="preserve">)) </w:t>
      </w:r>
      <w:r w:rsidRPr="00C61356">
        <w:rPr>
          <w:rFonts w:ascii="Arial" w:hAnsi="Arial" w:cs="Arial"/>
          <w:u w:val="single"/>
        </w:rPr>
        <w:t>an</w:t>
      </w:r>
      <w:r w:rsidRPr="00C61356">
        <w:rPr>
          <w:rFonts w:ascii="Arial" w:hAnsi="Arial" w:cs="Arial"/>
        </w:rPr>
        <w:t xml:space="preserve"> accommodation to protect themselves from the risk of exposure to an infectious or contagious disease and the employer determines no other accommodation is reasonable besides the use of leave; or</w:t>
      </w:r>
    </w:p>
    <w:p w14:paraId="0676C8D7" w14:textId="77777777" w:rsidR="008C0027" w:rsidRPr="00C61356" w:rsidRDefault="008C0027" w:rsidP="004562E3">
      <w:pPr>
        <w:spacing w:line="240" w:lineRule="auto"/>
        <w:ind w:firstLine="720"/>
        <w:rPr>
          <w:rFonts w:ascii="Arial" w:hAnsi="Arial" w:cs="Arial"/>
        </w:rPr>
      </w:pPr>
      <w:r w:rsidRPr="00C61356">
        <w:rPr>
          <w:rFonts w:ascii="Arial" w:hAnsi="Arial" w:cs="Arial"/>
        </w:rPr>
        <w:t>(g) If the employee requests to use their personal holiday when granted a temporary leave of absence for legislative service in accordance with WAC 357-31-374(2).</w:t>
      </w:r>
    </w:p>
    <w:p w14:paraId="5EB8F084" w14:textId="6747028D" w:rsidR="004F4314" w:rsidRPr="00C61356" w:rsidRDefault="0019120A" w:rsidP="0019120A">
      <w:pPr>
        <w:spacing w:after="0" w:line="240" w:lineRule="auto"/>
        <w:rPr>
          <w:rFonts w:ascii="Arial" w:eastAsiaTheme="minorEastAsia" w:hAnsi="Arial" w:cs="Arial"/>
        </w:rPr>
      </w:pPr>
      <w:r w:rsidRPr="00C61356">
        <w:rPr>
          <w:rFonts w:ascii="Arial" w:eastAsiaTheme="minorEastAsia" w:hAnsi="Arial" w:cs="Arial"/>
          <w:u w:val="single"/>
        </w:rPr>
        <w:t>AMENDATORY SECTION</w:t>
      </w:r>
      <w:r w:rsidRPr="00C61356">
        <w:rPr>
          <w:rFonts w:ascii="Arial" w:eastAsiaTheme="minorEastAsia" w:hAnsi="Arial" w:cs="Arial"/>
        </w:rPr>
        <w:t> </w:t>
      </w:r>
    </w:p>
    <w:bookmarkEnd w:id="30"/>
    <w:p w14:paraId="26875C27" w14:textId="77777777" w:rsidR="004835E8" w:rsidRPr="00C61356" w:rsidRDefault="004562E3" w:rsidP="004835E8">
      <w:pPr>
        <w:pStyle w:val="Heading3"/>
        <w:rPr>
          <w:rFonts w:cs="Arial"/>
          <w:szCs w:val="22"/>
        </w:rPr>
      </w:pPr>
      <w:r w:rsidRPr="00C61356">
        <w:rPr>
          <w:rFonts w:cs="Arial"/>
          <w:szCs w:val="22"/>
        </w:rPr>
        <w:t>WAC 357-31-</w:t>
      </w:r>
      <w:proofErr w:type="gramStart"/>
      <w:r w:rsidRPr="00C61356">
        <w:rPr>
          <w:rFonts w:cs="Arial"/>
          <w:szCs w:val="22"/>
        </w:rPr>
        <w:t>100  Must</w:t>
      </w:r>
      <w:proofErr w:type="gramEnd"/>
      <w:r w:rsidRPr="00C61356">
        <w:rPr>
          <w:rFonts w:cs="Arial"/>
          <w:szCs w:val="22"/>
        </w:rPr>
        <w:t xml:space="preserve"> an employer have a policy for requesting and approving leave?  </w:t>
      </w:r>
    </w:p>
    <w:p w14:paraId="22DC10D8" w14:textId="686930F0" w:rsidR="004562E3" w:rsidRPr="00C61356" w:rsidRDefault="004562E3" w:rsidP="004562E3">
      <w:pPr>
        <w:spacing w:line="240" w:lineRule="auto"/>
        <w:rPr>
          <w:rFonts w:ascii="Arial" w:hAnsi="Arial" w:cs="Arial"/>
        </w:rPr>
      </w:pPr>
      <w:r w:rsidRPr="00C61356">
        <w:rPr>
          <w:rFonts w:ascii="Arial" w:hAnsi="Arial" w:cs="Arial"/>
        </w:rPr>
        <w:t>Each employer must develop a leave policy which specifies the procedure for requesting and approving all leave, as provided in the civil service rules. The employer's policy must:</w:t>
      </w:r>
    </w:p>
    <w:p w14:paraId="6F7F0070" w14:textId="77777777" w:rsidR="004562E3" w:rsidRPr="00C61356" w:rsidRDefault="004562E3" w:rsidP="004562E3">
      <w:pPr>
        <w:spacing w:line="240" w:lineRule="auto"/>
        <w:ind w:firstLine="720"/>
        <w:rPr>
          <w:rFonts w:ascii="Arial" w:hAnsi="Arial" w:cs="Arial"/>
        </w:rPr>
      </w:pPr>
      <w:r w:rsidRPr="00C61356">
        <w:rPr>
          <w:rFonts w:ascii="Arial" w:hAnsi="Arial" w:cs="Arial"/>
        </w:rPr>
        <w:t>(1) Allow an employee to use vacation leave without advance approval when the employee is requesting to use vacation leave to respond to family care emergencies or for an emergency health condition as provided in WAC 357-31-200 (1)(b);</w:t>
      </w:r>
    </w:p>
    <w:p w14:paraId="7640BDF3" w14:textId="77777777" w:rsidR="004562E3" w:rsidRPr="00C61356" w:rsidRDefault="004562E3" w:rsidP="004562E3">
      <w:pPr>
        <w:spacing w:line="240" w:lineRule="auto"/>
        <w:ind w:firstLine="720"/>
        <w:rPr>
          <w:rFonts w:ascii="Arial" w:hAnsi="Arial" w:cs="Arial"/>
        </w:rPr>
      </w:pPr>
      <w:r w:rsidRPr="00C61356">
        <w:rPr>
          <w:rFonts w:ascii="Arial" w:hAnsi="Arial" w:cs="Arial"/>
        </w:rPr>
        <w:t>(2) Allow an employee to use a reasonable amount of accrued leave or unpaid leave when the employee is a victim or has a family member, as defined in chapter 357-01 WAC, who is a victim of domestic violence, sexual assault or stalking as defined in RCW 49.76.020;</w:t>
      </w:r>
    </w:p>
    <w:p w14:paraId="2CC3F775" w14:textId="77777777" w:rsidR="004562E3" w:rsidRPr="00C61356" w:rsidRDefault="004562E3" w:rsidP="004562E3">
      <w:pPr>
        <w:spacing w:line="240" w:lineRule="auto"/>
        <w:ind w:firstLine="720"/>
        <w:rPr>
          <w:rFonts w:ascii="Arial" w:hAnsi="Arial" w:cs="Arial"/>
        </w:rPr>
      </w:pPr>
      <w:r w:rsidRPr="00C61356">
        <w:rPr>
          <w:rFonts w:ascii="Arial" w:hAnsi="Arial" w:cs="Arial"/>
        </w:rPr>
        <w:t>(3) Allow an employee to use accrued leave as a supplemental benefit as provided in WAC 357-31-248;</w:t>
      </w:r>
    </w:p>
    <w:p w14:paraId="74F917CC" w14:textId="77777777" w:rsidR="004562E3" w:rsidRPr="00C61356" w:rsidRDefault="004562E3" w:rsidP="004562E3">
      <w:pPr>
        <w:spacing w:line="240" w:lineRule="auto"/>
        <w:ind w:firstLine="720"/>
        <w:rPr>
          <w:rFonts w:ascii="Arial" w:hAnsi="Arial" w:cs="Arial"/>
        </w:rPr>
      </w:pPr>
      <w:r w:rsidRPr="00C61356">
        <w:rPr>
          <w:rFonts w:ascii="Arial" w:hAnsi="Arial" w:cs="Arial"/>
        </w:rPr>
        <w:lastRenderedPageBreak/>
        <w:t>(4)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leave;</w:t>
      </w:r>
    </w:p>
    <w:p w14:paraId="1312D437" w14:textId="77777777" w:rsidR="004562E3" w:rsidRPr="00C61356" w:rsidRDefault="004562E3" w:rsidP="004562E3">
      <w:pPr>
        <w:spacing w:line="240" w:lineRule="auto"/>
        <w:ind w:firstLine="720"/>
        <w:rPr>
          <w:rFonts w:ascii="Arial" w:hAnsi="Arial" w:cs="Arial"/>
        </w:rPr>
      </w:pPr>
      <w:r w:rsidRPr="00C61356">
        <w:rPr>
          <w:rFonts w:ascii="Arial" w:hAnsi="Arial" w:cs="Arial"/>
        </w:rPr>
        <w:t>(5) Allow an employee to use sick leave for the purpose of parental leave to bond with a newborn, adoptive or foster child. The policy must state the total amount of sick leave allowed to be used beyond 18 weeks in accordance with WAC 357-31-133;</w:t>
      </w:r>
    </w:p>
    <w:p w14:paraId="5463F30F" w14:textId="77777777" w:rsidR="004562E3" w:rsidRPr="00C61356" w:rsidRDefault="004562E3" w:rsidP="004562E3">
      <w:pPr>
        <w:spacing w:line="240" w:lineRule="auto"/>
        <w:ind w:firstLine="720"/>
        <w:rPr>
          <w:rFonts w:ascii="Arial" w:hAnsi="Arial" w:cs="Arial"/>
        </w:rPr>
      </w:pPr>
      <w:r w:rsidRPr="00C61356">
        <w:rPr>
          <w:rFonts w:ascii="Arial" w:hAnsi="Arial" w:cs="Arial"/>
        </w:rPr>
        <w:t>(6) Address overtime eligible employees that are required to provide medical certification or verification to their employer for the use of paid sick leave under chapter 296-128 WAC;</w:t>
      </w:r>
    </w:p>
    <w:p w14:paraId="19705F51" w14:textId="77777777" w:rsidR="004562E3" w:rsidRPr="00C61356" w:rsidRDefault="004562E3" w:rsidP="004562E3">
      <w:pPr>
        <w:spacing w:line="240" w:lineRule="auto"/>
        <w:ind w:firstLine="720"/>
        <w:rPr>
          <w:rFonts w:ascii="Arial" w:hAnsi="Arial" w:cs="Arial"/>
        </w:rPr>
      </w:pPr>
      <w:r w:rsidRPr="00C61356">
        <w:rPr>
          <w:rFonts w:ascii="Arial" w:hAnsi="Arial" w:cs="Arial"/>
        </w:rPr>
        <w:t>(7) Address overtime eligible employees that are required to provide reasonable notice to their employer for an absence from work for the use of paid sick leave under chapter 296-128 WAC;</w:t>
      </w:r>
    </w:p>
    <w:p w14:paraId="07056A3D" w14:textId="77777777" w:rsidR="004562E3" w:rsidRPr="00C61356" w:rsidRDefault="004562E3" w:rsidP="004562E3">
      <w:pPr>
        <w:spacing w:line="240" w:lineRule="auto"/>
        <w:ind w:firstLine="720"/>
        <w:rPr>
          <w:rFonts w:ascii="Arial" w:hAnsi="Arial" w:cs="Arial"/>
        </w:rPr>
      </w:pPr>
      <w:r w:rsidRPr="00C61356">
        <w:rPr>
          <w:rFonts w:ascii="Arial" w:hAnsi="Arial" w:cs="Arial"/>
        </w:rPr>
        <w:t>(8) Address whether a general government employee may take additional accrued leave beyond 30 days in a two-year period to participate in life-giving procedures in accordance with RCW 41.06.570;</w:t>
      </w:r>
    </w:p>
    <w:p w14:paraId="75C96865" w14:textId="207F04EC" w:rsidR="004562E3" w:rsidRPr="00C61356" w:rsidRDefault="004562E3" w:rsidP="004562E3">
      <w:pPr>
        <w:spacing w:line="240" w:lineRule="auto"/>
        <w:ind w:firstLine="720"/>
        <w:rPr>
          <w:rFonts w:ascii="Arial" w:hAnsi="Arial" w:cs="Arial"/>
        </w:rPr>
      </w:pPr>
      <w:r w:rsidRPr="00C61356">
        <w:rPr>
          <w:rFonts w:ascii="Arial" w:hAnsi="Arial" w:cs="Arial"/>
        </w:rPr>
        <w:t>(9) Allow a high-risk employee((</w:t>
      </w:r>
      <w:r w:rsidRPr="00C61356">
        <w:rPr>
          <w:rFonts w:ascii="Arial" w:hAnsi="Arial" w:cs="Arial"/>
          <w:strike/>
        </w:rPr>
        <w:t>, as defined in RCW 49.17.062,</w:t>
      </w:r>
      <w:r w:rsidRPr="00C61356">
        <w:rPr>
          <w:rFonts w:ascii="Arial" w:hAnsi="Arial" w:cs="Arial"/>
        </w:rPr>
        <w:t>)) seeking ((</w:t>
      </w:r>
      <w:r w:rsidRPr="00C61356">
        <w:rPr>
          <w:rFonts w:ascii="Arial" w:hAnsi="Arial" w:cs="Arial"/>
          <w:strike/>
        </w:rPr>
        <w:t>a reasonable</w:t>
      </w:r>
      <w:r w:rsidRPr="00C61356">
        <w:rPr>
          <w:rFonts w:ascii="Arial" w:hAnsi="Arial" w:cs="Arial"/>
        </w:rPr>
        <w:t xml:space="preserve">)) </w:t>
      </w:r>
      <w:r w:rsidRPr="00C61356">
        <w:rPr>
          <w:rFonts w:ascii="Arial" w:hAnsi="Arial" w:cs="Arial"/>
          <w:u w:val="single"/>
        </w:rPr>
        <w:t>an</w:t>
      </w:r>
      <w:r w:rsidRPr="00C61356">
        <w:rPr>
          <w:rFonts w:ascii="Arial" w:hAnsi="Arial" w:cs="Arial"/>
        </w:rPr>
        <w:t xml:space="preserve"> accommodation to protect themselves from the risk of exposure to an infectious or contagious disease to use their accrued leave ((</w:t>
      </w:r>
      <w:r w:rsidRPr="00C61356">
        <w:rPr>
          <w:rFonts w:ascii="Arial" w:hAnsi="Arial" w:cs="Arial"/>
          <w:strike/>
        </w:rPr>
        <w:t>and leave without pay</w:t>
      </w:r>
      <w:r w:rsidRPr="00C61356">
        <w:rPr>
          <w:rFonts w:ascii="Arial" w:hAnsi="Arial" w:cs="Arial"/>
        </w:rPr>
        <w:t>)) if the employer determines no other accommodation is reasonable besides the use of leave</w:t>
      </w:r>
      <w:r w:rsidRPr="00C61356">
        <w:rPr>
          <w:rFonts w:ascii="Arial" w:hAnsi="Arial" w:cs="Arial"/>
          <w:u w:val="single"/>
        </w:rPr>
        <w:t xml:space="preserve">. The </w:t>
      </w:r>
      <w:r w:rsidR="004F4314" w:rsidRPr="00C61356">
        <w:rPr>
          <w:rFonts w:ascii="Arial" w:hAnsi="Arial" w:cs="Arial"/>
          <w:u w:val="single"/>
        </w:rPr>
        <w:t xml:space="preserve">employer may require that the employees request be supported by </w:t>
      </w:r>
      <w:r w:rsidRPr="00C61356">
        <w:rPr>
          <w:rFonts w:ascii="Arial" w:hAnsi="Arial" w:cs="Arial"/>
          <w:u w:val="single"/>
        </w:rPr>
        <w:t>verification or documentation</w:t>
      </w:r>
      <w:r w:rsidRPr="00C61356">
        <w:rPr>
          <w:rFonts w:ascii="Arial" w:hAnsi="Arial" w:cs="Arial"/>
        </w:rPr>
        <w:t>;</w:t>
      </w:r>
    </w:p>
    <w:p w14:paraId="4AB6DA69" w14:textId="77777777" w:rsidR="004562E3" w:rsidRPr="00C61356" w:rsidRDefault="004562E3" w:rsidP="004562E3">
      <w:pPr>
        <w:spacing w:line="240" w:lineRule="auto"/>
        <w:ind w:firstLine="720"/>
        <w:rPr>
          <w:rFonts w:ascii="Arial" w:hAnsi="Arial" w:cs="Arial"/>
        </w:rPr>
      </w:pPr>
      <w:r w:rsidRPr="00C61356">
        <w:rPr>
          <w:rFonts w:ascii="Arial" w:hAnsi="Arial" w:cs="Arial"/>
        </w:rPr>
        <w:t xml:space="preserve">(10) </w:t>
      </w:r>
      <w:r w:rsidRPr="00C61356">
        <w:rPr>
          <w:rFonts w:ascii="Arial" w:hAnsi="Arial" w:cs="Arial"/>
          <w:u w:val="single"/>
        </w:rPr>
        <w:t>Allow a high-risk employee seeking an accommodation to protect themselves from the risk of exposure to an infectious or contagious disease during a public health emergency to use leave without pay if the employer determines no other accommodation is reasonable besides the use of leave in accordance with RCW 49.17.062;</w:t>
      </w:r>
    </w:p>
    <w:p w14:paraId="63E5C163" w14:textId="77777777" w:rsidR="004562E3" w:rsidRPr="00C61356" w:rsidRDefault="004562E3" w:rsidP="004562E3">
      <w:pPr>
        <w:spacing w:line="240" w:lineRule="auto"/>
        <w:ind w:firstLine="720"/>
        <w:rPr>
          <w:rFonts w:ascii="Arial" w:hAnsi="Arial" w:cs="Arial"/>
        </w:rPr>
      </w:pPr>
      <w:r w:rsidRPr="00C61356">
        <w:rPr>
          <w:rFonts w:ascii="Arial" w:hAnsi="Arial" w:cs="Arial"/>
          <w:u w:val="single"/>
        </w:rPr>
        <w:t>(11)</w:t>
      </w:r>
      <w:r w:rsidRPr="00C61356">
        <w:rPr>
          <w:rFonts w:ascii="Arial" w:hAnsi="Arial" w:cs="Arial"/>
        </w:rPr>
        <w:t xml:space="preserve"> Allow an employee to use unpaid leave when the employee is granted a temporary leave of absence for service in an elective office in accordance with WAC 357-31-374(1); ((</w:t>
      </w:r>
      <w:r w:rsidRPr="00C61356">
        <w:rPr>
          <w:rFonts w:ascii="Arial" w:hAnsi="Arial" w:cs="Arial"/>
          <w:strike/>
        </w:rPr>
        <w:t>and</w:t>
      </w:r>
    </w:p>
    <w:p w14:paraId="0038EB9B" w14:textId="77777777" w:rsidR="004562E3" w:rsidRPr="00C61356" w:rsidRDefault="004562E3" w:rsidP="004562E3">
      <w:pPr>
        <w:spacing w:line="240" w:lineRule="auto"/>
        <w:ind w:firstLine="720"/>
        <w:rPr>
          <w:rFonts w:ascii="Arial" w:hAnsi="Arial" w:cs="Arial"/>
        </w:rPr>
      </w:pPr>
      <w:r w:rsidRPr="00C61356">
        <w:rPr>
          <w:rFonts w:ascii="Arial" w:hAnsi="Arial" w:cs="Arial"/>
          <w:strike/>
        </w:rPr>
        <w:t>(11)</w:t>
      </w:r>
      <w:r w:rsidRPr="00C61356">
        <w:rPr>
          <w:rFonts w:ascii="Arial" w:hAnsi="Arial" w:cs="Arial"/>
        </w:rPr>
        <w:t xml:space="preserve">)) </w:t>
      </w:r>
      <w:r w:rsidRPr="00C61356">
        <w:rPr>
          <w:rFonts w:ascii="Arial" w:hAnsi="Arial" w:cs="Arial"/>
          <w:u w:val="single"/>
        </w:rPr>
        <w:t>(12)</w:t>
      </w:r>
      <w:r w:rsidRPr="00C61356">
        <w:rPr>
          <w:rFonts w:ascii="Arial" w:hAnsi="Arial" w:cs="Arial"/>
        </w:rPr>
        <w:t xml:space="preserve"> Allow an employee to use unpaid and/or accrued paid leave when the employee is granted a temporary leave of absence for legislative service in accordance with WAC 357-31-374(2). The policy must state employees who request a leave of absence for legislative service must provide notice to the employer at least 30 days in advance for a regular legislative session or as soon as the session is proclaimed for a special session</w:t>
      </w:r>
      <w:r w:rsidRPr="00C61356">
        <w:rPr>
          <w:rFonts w:ascii="Arial" w:hAnsi="Arial" w:cs="Arial"/>
          <w:u w:val="single"/>
        </w:rPr>
        <w:t>; and</w:t>
      </w:r>
    </w:p>
    <w:p w14:paraId="5A257AC4" w14:textId="71EB1BEE" w:rsidR="00FE6771" w:rsidRPr="00570A36" w:rsidRDefault="004562E3" w:rsidP="00570A36">
      <w:pPr>
        <w:spacing w:line="240" w:lineRule="auto"/>
        <w:ind w:firstLine="720"/>
        <w:rPr>
          <w:rFonts w:ascii="Arial" w:hAnsi="Arial" w:cs="Arial"/>
        </w:rPr>
      </w:pPr>
      <w:r w:rsidRPr="00C61356">
        <w:rPr>
          <w:rFonts w:ascii="Arial" w:hAnsi="Arial" w:cs="Arial"/>
          <w:highlight w:val="green"/>
          <w:u w:val="single"/>
        </w:rPr>
        <w:t xml:space="preserve">(13) Address whether former employees who are re-employed after five years of their separation </w:t>
      </w:r>
      <w:r w:rsidR="00DB43AC" w:rsidRPr="00C61356">
        <w:rPr>
          <w:rFonts w:ascii="Arial" w:hAnsi="Arial" w:cs="Arial"/>
          <w:highlight w:val="green"/>
          <w:u w:val="single"/>
        </w:rPr>
        <w:t xml:space="preserve">from state service </w:t>
      </w:r>
      <w:r w:rsidRPr="00C61356">
        <w:rPr>
          <w:rFonts w:ascii="Arial" w:hAnsi="Arial" w:cs="Arial"/>
          <w:highlight w:val="green"/>
          <w:u w:val="single"/>
        </w:rPr>
        <w:t>may be restored unused sick leave credits in accordance with WAC 357-31-160</w:t>
      </w:r>
      <w:r w:rsidRPr="00C61356">
        <w:rPr>
          <w:rFonts w:ascii="Arial" w:hAnsi="Arial" w:cs="Arial"/>
          <w:highlight w:val="green"/>
        </w:rPr>
        <w:t>.</w:t>
      </w:r>
    </w:p>
    <w:p w14:paraId="24CD7ECA" w14:textId="511E6EAF" w:rsidR="00200152" w:rsidRPr="00C61356" w:rsidRDefault="00200152" w:rsidP="0072602D">
      <w:pPr>
        <w:shd w:val="clear" w:color="auto" w:fill="FFFFFF"/>
        <w:rPr>
          <w:rFonts w:ascii="Arial" w:hAnsi="Arial" w:cs="Arial"/>
          <w:bCs/>
          <w:u w:val="single"/>
        </w:rPr>
      </w:pPr>
      <w:r w:rsidRPr="00C61356">
        <w:rPr>
          <w:rFonts w:ascii="Arial" w:eastAsiaTheme="minorEastAsia" w:hAnsi="Arial" w:cs="Arial"/>
          <w:u w:val="single"/>
        </w:rPr>
        <w:t>AMENDATORY SECTION</w:t>
      </w:r>
      <w:r w:rsidRPr="00C61356">
        <w:rPr>
          <w:rFonts w:ascii="Arial" w:eastAsiaTheme="minorEastAsia" w:hAnsi="Arial" w:cs="Arial"/>
        </w:rPr>
        <w:t> </w:t>
      </w:r>
    </w:p>
    <w:p w14:paraId="32397026" w14:textId="257982DB" w:rsidR="002311FC" w:rsidRPr="00C61356" w:rsidRDefault="002311FC" w:rsidP="004835E8">
      <w:pPr>
        <w:pStyle w:val="Heading3"/>
        <w:rPr>
          <w:rFonts w:cs="Arial"/>
          <w:szCs w:val="22"/>
        </w:rPr>
      </w:pPr>
      <w:r w:rsidRPr="00C61356">
        <w:rPr>
          <w:rFonts w:cs="Arial"/>
          <w:szCs w:val="22"/>
        </w:rPr>
        <w:t>WAC 357-31-130 When must an employer allow an employee to use their accrued sick leave?</w:t>
      </w:r>
    </w:p>
    <w:p w14:paraId="70B45529" w14:textId="07FCA89D" w:rsidR="004562E3" w:rsidRPr="00C61356" w:rsidRDefault="004562E3" w:rsidP="004562E3">
      <w:pPr>
        <w:spacing w:line="240" w:lineRule="auto"/>
        <w:rPr>
          <w:rFonts w:ascii="Arial" w:hAnsi="Arial" w:cs="Arial"/>
        </w:rPr>
      </w:pPr>
      <w:r w:rsidRPr="00C61356">
        <w:rPr>
          <w:rFonts w:ascii="Arial" w:hAnsi="Arial" w:cs="Arial"/>
        </w:rPr>
        <w:t>The employer may require medical verification or certification of the reason for sick leave use in accordance with the employer's leave policy and in compliance with chapter 296-128 WAC.</w:t>
      </w:r>
    </w:p>
    <w:p w14:paraId="5133F96F" w14:textId="77777777" w:rsidR="004562E3" w:rsidRPr="00C61356" w:rsidRDefault="004562E3" w:rsidP="004562E3">
      <w:pPr>
        <w:spacing w:line="240" w:lineRule="auto"/>
        <w:ind w:firstLine="720"/>
        <w:rPr>
          <w:rFonts w:ascii="Arial" w:hAnsi="Arial" w:cs="Arial"/>
        </w:rPr>
      </w:pPr>
      <w:r w:rsidRPr="00C61356">
        <w:rPr>
          <w:rFonts w:ascii="Arial" w:hAnsi="Arial" w:cs="Arial"/>
        </w:rPr>
        <w:t xml:space="preserve">Employers </w:t>
      </w:r>
      <w:r w:rsidRPr="00C61356">
        <w:rPr>
          <w:rFonts w:ascii="Arial" w:hAnsi="Arial" w:cs="Arial"/>
          <w:b/>
        </w:rPr>
        <w:t>must</w:t>
      </w:r>
      <w:r w:rsidRPr="00C61356">
        <w:rPr>
          <w:rFonts w:ascii="Arial" w:hAnsi="Arial" w:cs="Arial"/>
        </w:rPr>
        <w:t xml:space="preserve"> allow the use of accrued sick leave under the following conditions:</w:t>
      </w:r>
    </w:p>
    <w:p w14:paraId="51F4F4C2" w14:textId="77777777" w:rsidR="004562E3" w:rsidRPr="00C61356" w:rsidRDefault="004562E3" w:rsidP="004562E3">
      <w:pPr>
        <w:spacing w:line="240" w:lineRule="auto"/>
        <w:ind w:firstLine="720"/>
        <w:rPr>
          <w:rFonts w:ascii="Arial" w:hAnsi="Arial" w:cs="Arial"/>
        </w:rPr>
      </w:pPr>
      <w:r w:rsidRPr="00C61356">
        <w:rPr>
          <w:rFonts w:ascii="Arial" w:hAnsi="Arial" w:cs="Arial"/>
        </w:rPr>
        <w:lastRenderedPageBreak/>
        <w:t>(1) An employee's mental or physical illness, disability, injury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14:paraId="3D5EA3B9" w14:textId="77777777" w:rsidR="004562E3" w:rsidRPr="00C61356" w:rsidRDefault="004562E3" w:rsidP="004562E3">
      <w:pPr>
        <w:spacing w:line="240" w:lineRule="auto"/>
        <w:ind w:firstLine="720"/>
        <w:rPr>
          <w:rFonts w:ascii="Arial" w:hAnsi="Arial" w:cs="Arial"/>
        </w:rPr>
      </w:pPr>
      <w:r w:rsidRPr="00C61356">
        <w:rPr>
          <w:rFonts w:ascii="Arial" w:hAnsi="Arial" w:cs="Arial"/>
        </w:rPr>
        <w:t>(2) By reason of exposure of the employee to a contagious disease when the employee's presence at work would jeopardize the health of others.</w:t>
      </w:r>
    </w:p>
    <w:p w14:paraId="72BBC399" w14:textId="77777777" w:rsidR="004562E3" w:rsidRPr="00C61356" w:rsidRDefault="004562E3" w:rsidP="004562E3">
      <w:pPr>
        <w:spacing w:line="240" w:lineRule="auto"/>
        <w:ind w:firstLine="720"/>
        <w:rPr>
          <w:rFonts w:ascii="Arial" w:hAnsi="Arial" w:cs="Arial"/>
        </w:rPr>
      </w:pPr>
      <w:r w:rsidRPr="00C61356">
        <w:rPr>
          <w:rFonts w:ascii="Arial" w:hAnsi="Arial" w:cs="Arial"/>
        </w:rPr>
        <w:t>(3) When a high-risk employee((</w:t>
      </w:r>
      <w:r w:rsidRPr="00C61356">
        <w:rPr>
          <w:rFonts w:ascii="Arial" w:hAnsi="Arial" w:cs="Arial"/>
          <w:strike/>
        </w:rPr>
        <w:t>, as defined in RCW 49.17.062,</w:t>
      </w:r>
      <w:r w:rsidRPr="00C61356">
        <w:rPr>
          <w:rFonts w:ascii="Arial" w:hAnsi="Arial" w:cs="Arial"/>
        </w:rPr>
        <w:t>)) seeks ((</w:t>
      </w:r>
      <w:r w:rsidRPr="00C61356">
        <w:rPr>
          <w:rFonts w:ascii="Arial" w:hAnsi="Arial" w:cs="Arial"/>
          <w:strike/>
        </w:rPr>
        <w:t>a reasonable</w:t>
      </w:r>
      <w:r w:rsidRPr="00C61356">
        <w:rPr>
          <w:rFonts w:ascii="Arial" w:hAnsi="Arial" w:cs="Arial"/>
        </w:rPr>
        <w:t xml:space="preserve">)) </w:t>
      </w:r>
      <w:r w:rsidRPr="00C61356">
        <w:rPr>
          <w:rFonts w:ascii="Arial" w:hAnsi="Arial" w:cs="Arial"/>
          <w:u w:val="single"/>
        </w:rPr>
        <w:t>an</w:t>
      </w:r>
      <w:r w:rsidRPr="00C61356">
        <w:rPr>
          <w:rFonts w:ascii="Arial" w:hAnsi="Arial" w:cs="Arial"/>
        </w:rPr>
        <w:t xml:space="preserve"> accommodation to protect themselves from the risk of exposure to an infectious or contagious disease and the employer determines no other accommodation is reasonable besides the use of leave.</w:t>
      </w:r>
    </w:p>
    <w:p w14:paraId="284BCB28" w14:textId="77777777" w:rsidR="004562E3" w:rsidRPr="00C61356" w:rsidRDefault="004562E3" w:rsidP="004562E3">
      <w:pPr>
        <w:spacing w:line="240" w:lineRule="auto"/>
        <w:ind w:firstLine="720"/>
        <w:rPr>
          <w:rFonts w:ascii="Arial" w:hAnsi="Arial" w:cs="Arial"/>
        </w:rPr>
      </w:pPr>
      <w:r w:rsidRPr="00C61356">
        <w:rPr>
          <w:rFonts w:ascii="Arial" w:hAnsi="Arial" w:cs="Arial"/>
        </w:rPr>
        <w:t>(4) To allow an employee to provide care for a child who has been exposed to a contagious disease and is required to quarantine; or when a household or family member needs additional care, not covered by subsection (6) of this section, who has been exposed to a contagious disease and is required to quarantine.</w:t>
      </w:r>
    </w:p>
    <w:p w14:paraId="7EBD79B2" w14:textId="77777777" w:rsidR="004562E3" w:rsidRPr="00C61356" w:rsidRDefault="004562E3" w:rsidP="004562E3">
      <w:pPr>
        <w:spacing w:line="240" w:lineRule="auto"/>
        <w:ind w:firstLine="720"/>
        <w:rPr>
          <w:rFonts w:ascii="Arial" w:hAnsi="Arial" w:cs="Arial"/>
        </w:rPr>
      </w:pPr>
      <w:r w:rsidRPr="00C61356">
        <w:rPr>
          <w:rFonts w:ascii="Arial" w:hAnsi="Arial" w:cs="Arial"/>
        </w:rPr>
        <w:t>(5) When the employee's place of business has been closed by order of a public official for any health-related reason, or when an employee's child's school or place of care has been closed for such reason.</w:t>
      </w:r>
    </w:p>
    <w:p w14:paraId="45F29C66" w14:textId="77777777" w:rsidR="004562E3" w:rsidRPr="00C61356" w:rsidRDefault="004562E3" w:rsidP="004562E3">
      <w:pPr>
        <w:spacing w:line="240" w:lineRule="auto"/>
        <w:ind w:firstLine="720"/>
        <w:rPr>
          <w:rFonts w:ascii="Arial" w:hAnsi="Arial" w:cs="Arial"/>
        </w:rPr>
      </w:pPr>
      <w:r w:rsidRPr="00C61356">
        <w:rPr>
          <w:rFonts w:ascii="Arial" w:hAnsi="Arial" w:cs="Arial"/>
        </w:rPr>
        <w:t>(6) To allow an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14:paraId="0766BCEA" w14:textId="77777777" w:rsidR="004562E3" w:rsidRPr="00C61356" w:rsidRDefault="004562E3" w:rsidP="004562E3">
      <w:pPr>
        <w:spacing w:line="240" w:lineRule="auto"/>
        <w:ind w:firstLine="720"/>
        <w:rPr>
          <w:rFonts w:ascii="Arial" w:hAnsi="Arial" w:cs="Arial"/>
        </w:rPr>
      </w:pPr>
      <w:r w:rsidRPr="00C61356">
        <w:rPr>
          <w:rFonts w:ascii="Arial" w:hAnsi="Arial" w:cs="Arial"/>
        </w:rPr>
        <w:t>(7) For family care emergencies per WAC 357-31-290, 357-31-295, 357-31-300 and 357-31-305.</w:t>
      </w:r>
    </w:p>
    <w:p w14:paraId="0B6A17E8" w14:textId="77777777" w:rsidR="004562E3" w:rsidRPr="00C61356" w:rsidRDefault="004562E3" w:rsidP="004562E3">
      <w:pPr>
        <w:spacing w:line="240" w:lineRule="auto"/>
        <w:ind w:firstLine="720"/>
        <w:rPr>
          <w:rFonts w:ascii="Arial" w:hAnsi="Arial" w:cs="Arial"/>
        </w:rPr>
      </w:pPr>
      <w:r w:rsidRPr="00C61356">
        <w:rPr>
          <w:rFonts w:ascii="Arial" w:hAnsi="Arial" w:cs="Arial"/>
        </w:rPr>
        <w:t>(8) When an employee is required to be absent from work to care for members of the employee's household or relatives of the employee or relatives of the employee's spouse/registered domestic partner who experience an illness or injury, not including situations covered by subsection (6) of this section.</w:t>
      </w:r>
    </w:p>
    <w:p w14:paraId="0023C9EB" w14:textId="77777777" w:rsidR="004562E3" w:rsidRPr="00C61356" w:rsidRDefault="004562E3" w:rsidP="004562E3">
      <w:pPr>
        <w:spacing w:line="240" w:lineRule="auto"/>
        <w:ind w:firstLine="720"/>
        <w:rPr>
          <w:rFonts w:ascii="Arial" w:hAnsi="Arial" w:cs="Arial"/>
        </w:rPr>
      </w:pPr>
      <w:r w:rsidRPr="00C61356">
        <w:rPr>
          <w:rFonts w:ascii="Arial" w:hAnsi="Arial" w:cs="Arial"/>
        </w:rPr>
        <w:t>(a) The employer must approve up to five days of accumulated sick leave each occurrence. Employers may approve more than five days.</w:t>
      </w:r>
    </w:p>
    <w:p w14:paraId="7805FD68" w14:textId="77777777" w:rsidR="004562E3" w:rsidRPr="00C61356" w:rsidRDefault="004562E3" w:rsidP="004562E3">
      <w:pPr>
        <w:spacing w:line="240" w:lineRule="auto"/>
        <w:ind w:firstLine="720"/>
        <w:rPr>
          <w:rFonts w:ascii="Arial" w:hAnsi="Arial" w:cs="Arial"/>
        </w:rPr>
      </w:pPr>
      <w:r w:rsidRPr="00C61356">
        <w:rPr>
          <w:rFonts w:ascii="Arial" w:hAnsi="Arial" w:cs="Arial"/>
        </w:rPr>
        <w:t>(b) For purposes of this subsection, "relatives" is limited to spouse, registered domestic partner, child, grandchild, grandparent or parent.</w:t>
      </w:r>
    </w:p>
    <w:p w14:paraId="18D7721A" w14:textId="77777777" w:rsidR="004562E3" w:rsidRPr="00C61356" w:rsidRDefault="004562E3" w:rsidP="004562E3">
      <w:pPr>
        <w:spacing w:line="240" w:lineRule="auto"/>
        <w:ind w:firstLine="720"/>
        <w:rPr>
          <w:rFonts w:ascii="Arial" w:hAnsi="Arial" w:cs="Arial"/>
        </w:rPr>
      </w:pPr>
      <w:r w:rsidRPr="00C61356">
        <w:rPr>
          <w:rFonts w:ascii="Arial" w:hAnsi="Arial" w:cs="Arial"/>
        </w:rPr>
        <w:t>(9)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paid family and/or medical leave under Title 50A RCW.</w:t>
      </w:r>
    </w:p>
    <w:p w14:paraId="1C40FFED" w14:textId="77777777" w:rsidR="004562E3" w:rsidRPr="00C61356" w:rsidRDefault="004562E3" w:rsidP="004562E3">
      <w:pPr>
        <w:spacing w:line="240" w:lineRule="auto"/>
        <w:ind w:firstLine="720"/>
        <w:rPr>
          <w:rFonts w:ascii="Arial" w:hAnsi="Arial" w:cs="Arial"/>
        </w:rPr>
      </w:pPr>
      <w:r w:rsidRPr="00C61356">
        <w:rPr>
          <w:rFonts w:ascii="Arial" w:hAnsi="Arial" w:cs="Arial"/>
        </w:rPr>
        <w:t>(10)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04A6EE95" w14:textId="77777777" w:rsidR="004562E3" w:rsidRPr="00C61356" w:rsidRDefault="004562E3" w:rsidP="004562E3">
      <w:pPr>
        <w:spacing w:line="240" w:lineRule="auto"/>
        <w:ind w:firstLine="720"/>
        <w:rPr>
          <w:rFonts w:ascii="Arial" w:hAnsi="Arial" w:cs="Arial"/>
        </w:rPr>
      </w:pPr>
      <w:r w:rsidRPr="00C61356">
        <w:rPr>
          <w:rFonts w:ascii="Arial" w:hAnsi="Arial" w:cs="Arial"/>
        </w:rPr>
        <w:t xml:space="preserve">(11) In accordance with WAC 357-31-373, for an employee to be with a spouse or registered domestic partner who is a member of the armed forces of the United States, National Guard, or reserves after the military spouse or registered domestic partner has been notified of </w:t>
      </w:r>
      <w:r w:rsidRPr="00C61356">
        <w:rPr>
          <w:rFonts w:ascii="Arial" w:hAnsi="Arial" w:cs="Arial"/>
        </w:rPr>
        <w:lastRenderedPageBreak/>
        <w:t>an impending call or order to active duty, before deployment, or when the military spouse or registered domestic partner is on leave from deployment.</w:t>
      </w:r>
    </w:p>
    <w:p w14:paraId="131B888C" w14:textId="77777777" w:rsidR="004562E3" w:rsidRPr="00C61356" w:rsidRDefault="004562E3" w:rsidP="004562E3">
      <w:pPr>
        <w:spacing w:line="240" w:lineRule="auto"/>
        <w:ind w:firstLine="720"/>
        <w:rPr>
          <w:rFonts w:ascii="Arial" w:hAnsi="Arial" w:cs="Arial"/>
        </w:rPr>
      </w:pPr>
      <w:r w:rsidRPr="00C61356">
        <w:rPr>
          <w:rFonts w:ascii="Arial" w:hAnsi="Arial" w:cs="Arial"/>
        </w:rPr>
        <w:t>(12) When an employee requests to use sick leave for the purpose of parental leave to bond with a newborn, adoptive or foster child for a period up to 18 weeks. Sick leave for this purpose must be taken during the first year following the child's birth or placement.</w:t>
      </w:r>
    </w:p>
    <w:p w14:paraId="2252221A" w14:textId="77777777" w:rsidR="004562E3" w:rsidRPr="00C61356" w:rsidRDefault="004562E3" w:rsidP="004562E3">
      <w:pPr>
        <w:spacing w:line="240" w:lineRule="auto"/>
        <w:ind w:firstLine="720"/>
        <w:rPr>
          <w:rFonts w:ascii="Arial" w:hAnsi="Arial" w:cs="Arial"/>
        </w:rPr>
      </w:pPr>
      <w:r w:rsidRPr="00C61356">
        <w:rPr>
          <w:rFonts w:ascii="Arial" w:hAnsi="Arial" w:cs="Arial"/>
        </w:rPr>
        <w:t>(13) If the employee requests to use sick leave when granted a temporary leave of absence for legislative service in accordance with WAC 357-31-374(2).</w:t>
      </w:r>
    </w:p>
    <w:p w14:paraId="60CF933A" w14:textId="79BD1F3D" w:rsidR="002311FC" w:rsidRPr="00C61356" w:rsidRDefault="00200152" w:rsidP="00200152">
      <w:pPr>
        <w:shd w:val="clear" w:color="auto" w:fill="FFFFFF"/>
        <w:rPr>
          <w:rFonts w:ascii="Arial" w:hAnsi="Arial" w:cs="Arial"/>
          <w:bCs/>
          <w:u w:val="single"/>
        </w:rPr>
      </w:pPr>
      <w:r w:rsidRPr="00C61356">
        <w:rPr>
          <w:rFonts w:ascii="Arial" w:eastAsiaTheme="minorEastAsia" w:hAnsi="Arial" w:cs="Arial"/>
          <w:u w:val="single"/>
        </w:rPr>
        <w:t>AMENDATORY SECTION</w:t>
      </w:r>
      <w:r w:rsidRPr="00C61356">
        <w:rPr>
          <w:rFonts w:ascii="Arial" w:eastAsiaTheme="minorEastAsia" w:hAnsi="Arial" w:cs="Arial"/>
        </w:rPr>
        <w:t> </w:t>
      </w:r>
    </w:p>
    <w:p w14:paraId="48FCEC7D" w14:textId="6E9EB6CE" w:rsidR="002311FC" w:rsidRPr="00C61356" w:rsidRDefault="002311FC" w:rsidP="004835E8">
      <w:pPr>
        <w:pStyle w:val="Heading3"/>
        <w:rPr>
          <w:rFonts w:cs="Arial"/>
          <w:szCs w:val="22"/>
        </w:rPr>
      </w:pPr>
      <w:r w:rsidRPr="00C61356">
        <w:rPr>
          <w:rFonts w:cs="Arial"/>
          <w:szCs w:val="22"/>
        </w:rPr>
        <w:t>WAC 357-31-200 When must an employer grant the use of vacation leave?</w:t>
      </w:r>
    </w:p>
    <w:p w14:paraId="6A7A1AD7" w14:textId="75923409" w:rsidR="004562E3" w:rsidRPr="00C61356" w:rsidRDefault="004562E3" w:rsidP="004562E3">
      <w:pPr>
        <w:spacing w:line="240" w:lineRule="auto"/>
        <w:rPr>
          <w:rFonts w:ascii="Arial" w:hAnsi="Arial" w:cs="Arial"/>
        </w:rPr>
      </w:pPr>
      <w:r w:rsidRPr="00C61356">
        <w:rPr>
          <w:rFonts w:ascii="Arial" w:hAnsi="Arial" w:cs="Arial"/>
        </w:rPr>
        <w:t xml:space="preserve"> (1) An employee's request to use vacation leave must be approved under the following conditions:</w:t>
      </w:r>
    </w:p>
    <w:p w14:paraId="6964885D" w14:textId="77777777" w:rsidR="004562E3" w:rsidRPr="00C61356" w:rsidRDefault="004562E3" w:rsidP="004562E3">
      <w:pPr>
        <w:spacing w:line="240" w:lineRule="auto"/>
        <w:ind w:firstLine="720"/>
        <w:rPr>
          <w:rFonts w:ascii="Arial" w:hAnsi="Arial" w:cs="Arial"/>
        </w:rPr>
      </w:pPr>
      <w:r w:rsidRPr="00C61356">
        <w:rPr>
          <w:rFonts w:ascii="Arial" w:hAnsi="Arial" w:cs="Arial"/>
        </w:rPr>
        <w:t>(a) As a result of the employee's serious health condition.</w:t>
      </w:r>
    </w:p>
    <w:p w14:paraId="50D044F4" w14:textId="77777777" w:rsidR="004562E3" w:rsidRPr="00C61356" w:rsidRDefault="004562E3" w:rsidP="004562E3">
      <w:pPr>
        <w:spacing w:line="240" w:lineRule="auto"/>
        <w:ind w:firstLine="720"/>
        <w:rPr>
          <w:rFonts w:ascii="Arial" w:hAnsi="Arial" w:cs="Arial"/>
        </w:rPr>
      </w:pPr>
      <w:r w:rsidRPr="00C61356">
        <w:rPr>
          <w:rFonts w:ascii="Arial" w:hAnsi="Arial" w:cs="Arial"/>
        </w:rPr>
        <w:t>(b) To care for a spouse, registered domestic partner, parent, parent-in-law, or grandparent of the employee who has a serious health condition or an emergency health condition.</w:t>
      </w:r>
    </w:p>
    <w:p w14:paraId="60F2376E" w14:textId="77777777" w:rsidR="004562E3" w:rsidRPr="00C61356" w:rsidRDefault="004562E3" w:rsidP="004562E3">
      <w:pPr>
        <w:spacing w:line="240" w:lineRule="auto"/>
        <w:ind w:firstLine="720"/>
        <w:rPr>
          <w:rFonts w:ascii="Arial" w:hAnsi="Arial" w:cs="Arial"/>
        </w:rPr>
      </w:pPr>
      <w:r w:rsidRPr="00C61356">
        <w:rPr>
          <w:rFonts w:ascii="Arial" w:hAnsi="Arial" w:cs="Arial"/>
        </w:rPr>
        <w:t>(c) To care for a minor/dependent child with a health condition that requires treatment or supervision.</w:t>
      </w:r>
    </w:p>
    <w:p w14:paraId="47455B4A" w14:textId="77777777" w:rsidR="004562E3" w:rsidRPr="00C61356" w:rsidRDefault="004562E3" w:rsidP="004562E3">
      <w:pPr>
        <w:spacing w:line="240" w:lineRule="auto"/>
        <w:ind w:firstLine="720"/>
        <w:rPr>
          <w:rFonts w:ascii="Arial" w:hAnsi="Arial" w:cs="Arial"/>
        </w:rPr>
      </w:pPr>
      <w:r w:rsidRPr="00C61356">
        <w:rPr>
          <w:rFonts w:ascii="Arial" w:hAnsi="Arial" w:cs="Arial"/>
        </w:rPr>
        <w:t>(d) For parental leave as provided in WAC 357-31-460.</w:t>
      </w:r>
    </w:p>
    <w:p w14:paraId="4ACC080A" w14:textId="77777777" w:rsidR="004562E3" w:rsidRPr="00C61356" w:rsidRDefault="004562E3" w:rsidP="004562E3">
      <w:pPr>
        <w:spacing w:line="240" w:lineRule="auto"/>
        <w:ind w:firstLine="720"/>
        <w:rPr>
          <w:rFonts w:ascii="Arial" w:hAnsi="Arial" w:cs="Arial"/>
        </w:rPr>
      </w:pPr>
      <w:r w:rsidRPr="00C61356">
        <w:rPr>
          <w:rFonts w:ascii="Arial" w:hAnsi="Arial" w:cs="Arial"/>
        </w:rPr>
        <w:t>(e)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105D3F87" w14:textId="77777777" w:rsidR="004562E3" w:rsidRPr="00C61356" w:rsidRDefault="004562E3" w:rsidP="004562E3">
      <w:pPr>
        <w:spacing w:line="240" w:lineRule="auto"/>
        <w:ind w:firstLine="720"/>
        <w:rPr>
          <w:rFonts w:ascii="Arial" w:hAnsi="Arial" w:cs="Arial"/>
        </w:rPr>
      </w:pPr>
      <w:r w:rsidRPr="00C61356">
        <w:rPr>
          <w:rFonts w:ascii="Arial" w:hAnsi="Arial" w:cs="Arial"/>
        </w:rPr>
        <w:t>(f)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645AD3FD" w14:textId="77777777" w:rsidR="004562E3" w:rsidRPr="00C61356" w:rsidRDefault="004562E3" w:rsidP="004562E3">
      <w:pPr>
        <w:spacing w:line="240" w:lineRule="auto"/>
        <w:ind w:firstLine="720"/>
        <w:rPr>
          <w:rFonts w:ascii="Arial" w:hAnsi="Arial" w:cs="Arial"/>
        </w:rPr>
      </w:pPr>
      <w:r w:rsidRPr="00C61356">
        <w:rPr>
          <w:rFonts w:ascii="Arial" w:hAnsi="Arial" w:cs="Arial"/>
        </w:rPr>
        <w:t>(g) When requested as a supplemental benefit while receiving a partial wage replacement for paid family and/or medical leave under Title 50A RCW as provided in WAC 357-31-248.</w:t>
      </w:r>
    </w:p>
    <w:p w14:paraId="0B8388B9" w14:textId="77777777" w:rsidR="004562E3" w:rsidRPr="00C61356" w:rsidRDefault="004562E3" w:rsidP="004562E3">
      <w:pPr>
        <w:spacing w:line="240" w:lineRule="auto"/>
        <w:ind w:firstLine="720"/>
        <w:rPr>
          <w:rFonts w:ascii="Arial" w:hAnsi="Arial" w:cs="Arial"/>
        </w:rPr>
      </w:pPr>
      <w:r w:rsidRPr="00C61356">
        <w:rPr>
          <w:rFonts w:ascii="Arial" w:hAnsi="Arial" w:cs="Arial"/>
        </w:rPr>
        <w:t>(h) When a high-risk employee((</w:t>
      </w:r>
      <w:r w:rsidRPr="00C61356">
        <w:rPr>
          <w:rFonts w:ascii="Arial" w:hAnsi="Arial" w:cs="Arial"/>
          <w:strike/>
        </w:rPr>
        <w:t>, as defined in RCW 49.17.062,</w:t>
      </w:r>
      <w:r w:rsidRPr="00C61356">
        <w:rPr>
          <w:rFonts w:ascii="Arial" w:hAnsi="Arial" w:cs="Arial"/>
        </w:rPr>
        <w:t>)) seeks ((</w:t>
      </w:r>
      <w:r w:rsidRPr="00C61356">
        <w:rPr>
          <w:rFonts w:ascii="Arial" w:hAnsi="Arial" w:cs="Arial"/>
          <w:strike/>
        </w:rPr>
        <w:t>a reasonable</w:t>
      </w:r>
      <w:r w:rsidRPr="00C61356">
        <w:rPr>
          <w:rFonts w:ascii="Arial" w:hAnsi="Arial" w:cs="Arial"/>
        </w:rPr>
        <w:t xml:space="preserve">)) </w:t>
      </w:r>
      <w:r w:rsidRPr="00C61356">
        <w:rPr>
          <w:rFonts w:ascii="Arial" w:hAnsi="Arial" w:cs="Arial"/>
          <w:u w:val="single"/>
        </w:rPr>
        <w:t>an</w:t>
      </w:r>
      <w:r w:rsidRPr="00C61356">
        <w:rPr>
          <w:rFonts w:ascii="Arial" w:hAnsi="Arial" w:cs="Arial"/>
        </w:rPr>
        <w:t xml:space="preserve"> accommodation to protect themselves from the risk of exposure to an infectious or contagious disease and the employer determines no other accommodation is reasonable besides the use of leave.</w:t>
      </w:r>
    </w:p>
    <w:p w14:paraId="5020E5B1" w14:textId="77777777" w:rsidR="004562E3" w:rsidRPr="00C61356" w:rsidRDefault="004562E3" w:rsidP="004562E3">
      <w:pPr>
        <w:spacing w:line="240" w:lineRule="auto"/>
        <w:ind w:firstLine="720"/>
        <w:rPr>
          <w:rFonts w:ascii="Arial" w:hAnsi="Arial" w:cs="Arial"/>
        </w:rPr>
      </w:pPr>
      <w:r w:rsidRPr="00C61356">
        <w:rPr>
          <w:rFonts w:ascii="Arial" w:hAnsi="Arial" w:cs="Arial"/>
        </w:rPr>
        <w:t>(i) When the employee requests to use their vacation leave when granted a temporary leave of absence for legislative service in accordance with WAC 357-31-374(2).</w:t>
      </w:r>
    </w:p>
    <w:p w14:paraId="191891E4" w14:textId="77777777" w:rsidR="004562E3" w:rsidRPr="00C61356" w:rsidRDefault="004562E3" w:rsidP="004562E3">
      <w:pPr>
        <w:spacing w:line="240" w:lineRule="auto"/>
        <w:ind w:firstLine="720"/>
        <w:rPr>
          <w:rFonts w:ascii="Arial" w:hAnsi="Arial" w:cs="Arial"/>
        </w:rPr>
      </w:pPr>
      <w:r w:rsidRPr="00C61356">
        <w:rPr>
          <w:rFonts w:ascii="Arial" w:hAnsi="Arial" w:cs="Arial"/>
        </w:rPr>
        <w:t>(2) In accordance with the employer's leave policy, approval for the reasons listed in (1)(a) through (g) above may be subject to verification that the condition or circumstance exists or that paid family and/or medical leave under Title 50A RCW has been approved.</w:t>
      </w:r>
    </w:p>
    <w:p w14:paraId="0D1ECC42" w14:textId="3538B96A" w:rsidR="002311FC" w:rsidRPr="00C61356" w:rsidRDefault="00200152" w:rsidP="0072602D">
      <w:pPr>
        <w:shd w:val="clear" w:color="auto" w:fill="FFFFFF"/>
        <w:rPr>
          <w:rFonts w:ascii="Arial" w:hAnsi="Arial" w:cs="Arial"/>
          <w:bCs/>
          <w:u w:val="single"/>
        </w:rPr>
      </w:pPr>
      <w:r w:rsidRPr="00C61356">
        <w:rPr>
          <w:rFonts w:ascii="Arial" w:eastAsiaTheme="minorEastAsia" w:hAnsi="Arial" w:cs="Arial"/>
          <w:u w:val="single"/>
        </w:rPr>
        <w:t>AMENDATORY SECTION</w:t>
      </w:r>
      <w:r w:rsidRPr="00C61356">
        <w:rPr>
          <w:rFonts w:ascii="Arial" w:eastAsiaTheme="minorEastAsia" w:hAnsi="Arial" w:cs="Arial"/>
        </w:rPr>
        <w:t> </w:t>
      </w:r>
    </w:p>
    <w:p w14:paraId="2173255C" w14:textId="4734875D" w:rsidR="004562E3" w:rsidRPr="00C61356" w:rsidRDefault="00200152" w:rsidP="004835E8">
      <w:pPr>
        <w:pStyle w:val="Heading3"/>
        <w:rPr>
          <w:rFonts w:cs="Arial"/>
          <w:szCs w:val="22"/>
        </w:rPr>
      </w:pPr>
      <w:r w:rsidRPr="00C61356">
        <w:rPr>
          <w:rFonts w:cs="Arial"/>
          <w:szCs w:val="22"/>
        </w:rPr>
        <w:lastRenderedPageBreak/>
        <w:t>WAC 357-31-230 When must an employee be granted the use of accrued compensatory</w:t>
      </w:r>
      <w:r w:rsidR="00994FBA" w:rsidRPr="00C61356">
        <w:rPr>
          <w:rFonts w:cs="Arial"/>
          <w:szCs w:val="22"/>
        </w:rPr>
        <w:t xml:space="preserve"> time?</w:t>
      </w:r>
    </w:p>
    <w:p w14:paraId="3553F83C" w14:textId="23177D79" w:rsidR="004562E3" w:rsidRPr="00C61356" w:rsidRDefault="004562E3" w:rsidP="004562E3">
      <w:pPr>
        <w:spacing w:line="240" w:lineRule="auto"/>
        <w:ind w:firstLine="720"/>
        <w:rPr>
          <w:rFonts w:ascii="Arial" w:hAnsi="Arial" w:cs="Arial"/>
        </w:rPr>
      </w:pPr>
      <w:r w:rsidRPr="00C61356">
        <w:rPr>
          <w:rFonts w:ascii="Arial" w:hAnsi="Arial" w:cs="Arial"/>
        </w:rPr>
        <w:t>(1) Employees must request to use accrued compensatory time in accordance with the employer's leave policy. When considering employees' requests, employers must consider their business needs and the wishes of the employee.</w:t>
      </w:r>
    </w:p>
    <w:p w14:paraId="7166E48B" w14:textId="77777777" w:rsidR="004562E3" w:rsidRPr="00C61356" w:rsidRDefault="004562E3" w:rsidP="004562E3">
      <w:pPr>
        <w:spacing w:line="240" w:lineRule="auto"/>
        <w:ind w:firstLine="720"/>
        <w:rPr>
          <w:rFonts w:ascii="Arial" w:hAnsi="Arial" w:cs="Arial"/>
        </w:rPr>
      </w:pPr>
      <w:r w:rsidRPr="00C61356">
        <w:rPr>
          <w:rFonts w:ascii="Arial" w:hAnsi="Arial" w:cs="Arial"/>
        </w:rPr>
        <w:t>(2) An employee must be granted the use of accrued compensatory time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compensatory time may be subject to verification that the condition exists.</w:t>
      </w:r>
    </w:p>
    <w:p w14:paraId="135AA508" w14:textId="77777777" w:rsidR="004562E3" w:rsidRPr="00C61356" w:rsidRDefault="004562E3" w:rsidP="004562E3">
      <w:pPr>
        <w:spacing w:line="240" w:lineRule="auto"/>
        <w:ind w:firstLine="720"/>
        <w:rPr>
          <w:rFonts w:ascii="Arial" w:hAnsi="Arial" w:cs="Arial"/>
        </w:rPr>
      </w:pPr>
      <w:r w:rsidRPr="00C61356">
        <w:rPr>
          <w:rFonts w:ascii="Arial" w:hAnsi="Arial" w:cs="Arial"/>
        </w:rPr>
        <w:t>(3) An employee must be granted the use of accrued compensatory time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1779D330" w14:textId="77777777" w:rsidR="004562E3" w:rsidRPr="00C61356" w:rsidRDefault="004562E3" w:rsidP="004562E3">
      <w:pPr>
        <w:spacing w:line="240" w:lineRule="auto"/>
        <w:ind w:firstLine="720"/>
        <w:rPr>
          <w:rFonts w:ascii="Arial" w:hAnsi="Arial" w:cs="Arial"/>
        </w:rPr>
      </w:pPr>
      <w:r w:rsidRPr="00C61356">
        <w:rPr>
          <w:rFonts w:ascii="Arial" w:hAnsi="Arial" w:cs="Arial"/>
        </w:rPr>
        <w:t>(4) In accordance with WAC 357-31-373, an employee must be granted the use of accrued compensatory time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7A7A384" w14:textId="77777777" w:rsidR="004562E3" w:rsidRPr="00C61356" w:rsidRDefault="004562E3" w:rsidP="004562E3">
      <w:pPr>
        <w:spacing w:line="240" w:lineRule="auto"/>
        <w:ind w:firstLine="720"/>
        <w:rPr>
          <w:rFonts w:ascii="Arial" w:hAnsi="Arial" w:cs="Arial"/>
        </w:rPr>
      </w:pPr>
      <w:r w:rsidRPr="00C61356">
        <w:rPr>
          <w:rFonts w:ascii="Arial" w:hAnsi="Arial" w:cs="Arial"/>
        </w:rPr>
        <w:t>(5)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RCW.</w:t>
      </w:r>
    </w:p>
    <w:p w14:paraId="3538D8F1" w14:textId="77777777" w:rsidR="004562E3" w:rsidRPr="00C61356" w:rsidRDefault="004562E3" w:rsidP="004562E3">
      <w:pPr>
        <w:spacing w:line="240" w:lineRule="auto"/>
        <w:ind w:firstLine="720"/>
        <w:rPr>
          <w:rFonts w:ascii="Arial" w:hAnsi="Arial" w:cs="Arial"/>
        </w:rPr>
      </w:pPr>
      <w:r w:rsidRPr="00C61356">
        <w:rPr>
          <w:rFonts w:ascii="Arial" w:hAnsi="Arial" w:cs="Arial"/>
        </w:rPr>
        <w:t>(6) Compensatory time off may be scheduled by the employer during the final 60 days of a biennium.</w:t>
      </w:r>
    </w:p>
    <w:p w14:paraId="60E77528" w14:textId="77777777" w:rsidR="004562E3" w:rsidRPr="00C61356" w:rsidRDefault="004562E3" w:rsidP="004562E3">
      <w:pPr>
        <w:spacing w:line="240" w:lineRule="auto"/>
        <w:ind w:firstLine="720"/>
        <w:rPr>
          <w:rFonts w:ascii="Arial" w:hAnsi="Arial" w:cs="Arial"/>
        </w:rPr>
      </w:pPr>
      <w:r w:rsidRPr="00C61356">
        <w:rPr>
          <w:rFonts w:ascii="Arial" w:hAnsi="Arial" w:cs="Arial"/>
        </w:rPr>
        <w:t>(7) Employers may require that accumulated compensatory time be used before vacation leave is approved, except in those instances where this requirement would result in loss of accumulated vacation leave.</w:t>
      </w:r>
    </w:p>
    <w:p w14:paraId="2A86770B" w14:textId="77777777" w:rsidR="004562E3" w:rsidRPr="00C61356" w:rsidRDefault="004562E3" w:rsidP="004562E3">
      <w:pPr>
        <w:spacing w:line="240" w:lineRule="auto"/>
        <w:ind w:firstLine="720"/>
        <w:rPr>
          <w:rFonts w:ascii="Arial" w:hAnsi="Arial" w:cs="Arial"/>
        </w:rPr>
      </w:pPr>
      <w:r w:rsidRPr="00C61356">
        <w:rPr>
          <w:rFonts w:ascii="Arial" w:hAnsi="Arial" w:cs="Arial"/>
        </w:rPr>
        <w:t>(8) A high-risk employee((</w:t>
      </w:r>
      <w:r w:rsidRPr="00C61356">
        <w:rPr>
          <w:rFonts w:ascii="Arial" w:hAnsi="Arial" w:cs="Arial"/>
          <w:strike/>
        </w:rPr>
        <w:t>, as defined in RCW 49.17.062,</w:t>
      </w:r>
      <w:r w:rsidRPr="00C61356">
        <w:rPr>
          <w:rFonts w:ascii="Arial" w:hAnsi="Arial" w:cs="Arial"/>
        </w:rPr>
        <w:t>)) seeking ((</w:t>
      </w:r>
      <w:r w:rsidRPr="00C61356">
        <w:rPr>
          <w:rFonts w:ascii="Arial" w:hAnsi="Arial" w:cs="Arial"/>
          <w:strike/>
        </w:rPr>
        <w:t>a reasonable</w:t>
      </w:r>
      <w:r w:rsidRPr="00C61356">
        <w:rPr>
          <w:rFonts w:ascii="Arial" w:hAnsi="Arial" w:cs="Arial"/>
        </w:rPr>
        <w:t xml:space="preserve">)) </w:t>
      </w:r>
      <w:r w:rsidRPr="00C61356">
        <w:rPr>
          <w:rFonts w:ascii="Arial" w:hAnsi="Arial" w:cs="Arial"/>
          <w:u w:val="single"/>
        </w:rPr>
        <w:t>an</w:t>
      </w:r>
      <w:r w:rsidRPr="00C61356">
        <w:rPr>
          <w:rFonts w:ascii="Arial" w:hAnsi="Arial" w:cs="Arial"/>
        </w:rPr>
        <w:t xml:space="preserve"> accommodation to protect themselves from the risk of exposure to an infectious or contagious disease must be granted the use of accrued compensatory time if the employer determines no other accommodation is reasonable besides the use of leave.</w:t>
      </w:r>
    </w:p>
    <w:p w14:paraId="0391AFF9" w14:textId="77777777" w:rsidR="004562E3" w:rsidRPr="00C61356" w:rsidRDefault="004562E3" w:rsidP="004562E3">
      <w:pPr>
        <w:spacing w:line="240" w:lineRule="auto"/>
        <w:ind w:firstLine="720"/>
        <w:rPr>
          <w:rFonts w:ascii="Arial" w:hAnsi="Arial" w:cs="Arial"/>
        </w:rPr>
      </w:pPr>
      <w:r w:rsidRPr="00C61356">
        <w:rPr>
          <w:rFonts w:ascii="Arial" w:hAnsi="Arial" w:cs="Arial"/>
        </w:rPr>
        <w:t>(9) An employee must be granted the use of compensatory time when granted a temporary leave of absence for legislative service in accordance with WAC 357-31-374(2).</w:t>
      </w:r>
    </w:p>
    <w:p w14:paraId="6D5CCB7C" w14:textId="66B924FD" w:rsidR="0072602D" w:rsidRPr="00C61356" w:rsidRDefault="0019120A" w:rsidP="0072602D">
      <w:pPr>
        <w:shd w:val="clear" w:color="auto" w:fill="FFFFFF"/>
        <w:rPr>
          <w:rFonts w:ascii="Arial" w:hAnsi="Arial" w:cs="Arial"/>
          <w:bCs/>
          <w:u w:val="single"/>
        </w:rPr>
      </w:pPr>
      <w:r w:rsidRPr="00C61356">
        <w:rPr>
          <w:rFonts w:ascii="Arial" w:eastAsiaTheme="minorEastAsia" w:hAnsi="Arial" w:cs="Arial"/>
          <w:u w:val="single"/>
        </w:rPr>
        <w:t>AMENDATORY SECTION</w:t>
      </w:r>
      <w:r w:rsidRPr="00C61356">
        <w:rPr>
          <w:rFonts w:ascii="Arial" w:eastAsiaTheme="minorEastAsia" w:hAnsi="Arial" w:cs="Arial"/>
        </w:rPr>
        <w:t> </w:t>
      </w:r>
    </w:p>
    <w:p w14:paraId="0804E5E6" w14:textId="332D5684" w:rsidR="0019120A" w:rsidRPr="00C61356" w:rsidRDefault="0019120A" w:rsidP="004835E8">
      <w:pPr>
        <w:pStyle w:val="Heading3"/>
        <w:rPr>
          <w:rFonts w:cs="Arial"/>
          <w:szCs w:val="22"/>
          <w:u w:val="single"/>
        </w:rPr>
      </w:pPr>
      <w:r w:rsidRPr="00C61356">
        <w:rPr>
          <w:rFonts w:cs="Arial"/>
          <w:szCs w:val="22"/>
        </w:rPr>
        <w:t xml:space="preserve">WAC 357-31-327  When must an employer grant leave without pay?  </w:t>
      </w:r>
    </w:p>
    <w:p w14:paraId="75330B1B" w14:textId="2CCF10E2" w:rsidR="004562E3" w:rsidRPr="00C61356" w:rsidRDefault="004562E3" w:rsidP="004562E3">
      <w:pPr>
        <w:spacing w:line="240" w:lineRule="auto"/>
        <w:rPr>
          <w:rFonts w:ascii="Arial" w:hAnsi="Arial" w:cs="Arial"/>
        </w:rPr>
      </w:pPr>
      <w:r w:rsidRPr="00C61356">
        <w:rPr>
          <w:rFonts w:ascii="Arial" w:hAnsi="Arial" w:cs="Arial"/>
        </w:rPr>
        <w:t>An employer must grant leave without pay under the following conditions:</w:t>
      </w:r>
    </w:p>
    <w:p w14:paraId="423DF475" w14:textId="77777777" w:rsidR="004562E3" w:rsidRPr="00C61356" w:rsidRDefault="004562E3" w:rsidP="004562E3">
      <w:pPr>
        <w:spacing w:line="240" w:lineRule="auto"/>
        <w:ind w:firstLine="720"/>
        <w:rPr>
          <w:rFonts w:ascii="Arial" w:hAnsi="Arial" w:cs="Arial"/>
        </w:rPr>
      </w:pPr>
      <w:r w:rsidRPr="00C61356">
        <w:rPr>
          <w:rFonts w:ascii="Arial" w:hAnsi="Arial" w:cs="Arial"/>
        </w:rPr>
        <w:lastRenderedPageBreak/>
        <w:t>(1) When an employee who is a volunteer firefighter is called to duty to respond to a fire, natural disaster, or medical emergency;</w:t>
      </w:r>
    </w:p>
    <w:p w14:paraId="5DD80AD6" w14:textId="77777777" w:rsidR="004562E3" w:rsidRPr="00C61356" w:rsidRDefault="004562E3" w:rsidP="004562E3">
      <w:pPr>
        <w:spacing w:line="240" w:lineRule="auto"/>
        <w:ind w:firstLine="720"/>
        <w:rPr>
          <w:rFonts w:ascii="Arial" w:hAnsi="Arial" w:cs="Arial"/>
        </w:rPr>
      </w:pPr>
      <w:r w:rsidRPr="00C61356">
        <w:rPr>
          <w:rFonts w:ascii="Arial" w:hAnsi="Arial" w:cs="Arial"/>
        </w:rPr>
        <w:t>(2)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 or</w:t>
      </w:r>
    </w:p>
    <w:p w14:paraId="4424A7E2" w14:textId="77777777" w:rsidR="004562E3" w:rsidRPr="00C61356" w:rsidRDefault="004562E3" w:rsidP="004562E3">
      <w:pPr>
        <w:spacing w:line="240" w:lineRule="auto"/>
        <w:ind w:firstLine="720"/>
        <w:rPr>
          <w:rFonts w:ascii="Arial" w:hAnsi="Arial" w:cs="Arial"/>
        </w:rPr>
      </w:pPr>
      <w:r w:rsidRPr="00C61356">
        <w:rPr>
          <w:rFonts w:ascii="Arial" w:hAnsi="Arial" w:cs="Arial"/>
        </w:rPr>
        <w:t>(3)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4D495168" w14:textId="77777777" w:rsidR="004562E3" w:rsidRPr="00C61356" w:rsidRDefault="004562E3" w:rsidP="004562E3">
      <w:pPr>
        <w:spacing w:line="240" w:lineRule="auto"/>
        <w:ind w:firstLine="720"/>
        <w:rPr>
          <w:rFonts w:ascii="Arial" w:hAnsi="Arial" w:cs="Arial"/>
        </w:rPr>
      </w:pPr>
      <w:r w:rsidRPr="00C61356">
        <w:rPr>
          <w:rFonts w:ascii="Arial" w:hAnsi="Arial" w:cs="Arial"/>
        </w:rPr>
        <w:t>(4) When an employee requests a day off for a reason of faith or conscience or an organized activity conducted under the auspices of a religious denomination, church, or religious organization in accordance with WAC 357-31-052.</w:t>
      </w:r>
    </w:p>
    <w:p w14:paraId="10C4E77D" w14:textId="77777777" w:rsidR="004562E3" w:rsidRPr="00C61356" w:rsidRDefault="004562E3" w:rsidP="004562E3">
      <w:pPr>
        <w:spacing w:line="240" w:lineRule="auto"/>
        <w:ind w:firstLine="720"/>
        <w:rPr>
          <w:rFonts w:ascii="Arial" w:hAnsi="Arial" w:cs="Arial"/>
        </w:rPr>
      </w:pPr>
      <w:r w:rsidRPr="00C61356">
        <w:rPr>
          <w:rFonts w:ascii="Arial" w:hAnsi="Arial" w:cs="Arial"/>
        </w:rPr>
        <w:t>(5) When an employee is on approved paid family and/or medical leave under Title 50A RCW. Leave taken under this subsection may be subject to verification that the employee has been approved to receive benefits for paid family and/or medical leave under Title 50A RCW and qualifies for employment protection in accordance with RCW 50A.35.010.</w:t>
      </w:r>
    </w:p>
    <w:p w14:paraId="6CF15EAE" w14:textId="77777777" w:rsidR="004562E3" w:rsidRPr="00C61356" w:rsidRDefault="004562E3" w:rsidP="004562E3">
      <w:pPr>
        <w:spacing w:line="240" w:lineRule="auto"/>
        <w:ind w:firstLine="720"/>
        <w:rPr>
          <w:rFonts w:ascii="Arial" w:hAnsi="Arial" w:cs="Arial"/>
        </w:rPr>
      </w:pPr>
      <w:r w:rsidRPr="00C61356">
        <w:rPr>
          <w:rFonts w:ascii="Arial" w:hAnsi="Arial" w:cs="Arial"/>
        </w:rPr>
        <w:t>(6) When a high-risk employee((</w:t>
      </w:r>
      <w:r w:rsidRPr="00C61356">
        <w:rPr>
          <w:rFonts w:ascii="Arial" w:hAnsi="Arial" w:cs="Arial"/>
          <w:strike/>
        </w:rPr>
        <w:t>, as defined in RCW 49.17.062,</w:t>
      </w:r>
      <w:r w:rsidRPr="00C61356">
        <w:rPr>
          <w:rFonts w:ascii="Arial" w:hAnsi="Arial" w:cs="Arial"/>
        </w:rPr>
        <w:t>)) seeks ((</w:t>
      </w:r>
      <w:r w:rsidRPr="00C61356">
        <w:rPr>
          <w:rFonts w:ascii="Arial" w:hAnsi="Arial" w:cs="Arial"/>
          <w:strike/>
        </w:rPr>
        <w:t>a reasonable</w:t>
      </w:r>
      <w:r w:rsidRPr="00C61356">
        <w:rPr>
          <w:rFonts w:ascii="Arial" w:hAnsi="Arial" w:cs="Arial"/>
        </w:rPr>
        <w:t xml:space="preserve">)) </w:t>
      </w:r>
      <w:r w:rsidRPr="00C61356">
        <w:rPr>
          <w:rFonts w:ascii="Arial" w:hAnsi="Arial" w:cs="Arial"/>
          <w:u w:val="single"/>
        </w:rPr>
        <w:t>an</w:t>
      </w:r>
      <w:r w:rsidRPr="00C61356">
        <w:rPr>
          <w:rFonts w:ascii="Arial" w:hAnsi="Arial" w:cs="Arial"/>
        </w:rPr>
        <w:t xml:space="preserve"> accommodation to protect themselves from the risk of exposure to an infectious or contagious disease </w:t>
      </w:r>
      <w:r w:rsidRPr="00C61356">
        <w:rPr>
          <w:rFonts w:ascii="Arial" w:hAnsi="Arial" w:cs="Arial"/>
          <w:u w:val="single"/>
        </w:rPr>
        <w:t>during a public health emergency</w:t>
      </w:r>
      <w:r w:rsidRPr="00C61356">
        <w:rPr>
          <w:rFonts w:ascii="Arial" w:hAnsi="Arial" w:cs="Arial"/>
        </w:rPr>
        <w:t xml:space="preserve"> and the employer determines no other accommodation is reasonable besides the use of leave </w:t>
      </w:r>
      <w:r w:rsidRPr="00C61356">
        <w:rPr>
          <w:rFonts w:ascii="Arial" w:hAnsi="Arial" w:cs="Arial"/>
          <w:u w:val="single"/>
        </w:rPr>
        <w:t>in accordance with RCW 49.17.062</w:t>
      </w:r>
      <w:r w:rsidRPr="00C61356">
        <w:rPr>
          <w:rFonts w:ascii="Arial" w:hAnsi="Arial" w:cs="Arial"/>
        </w:rPr>
        <w:t>.</w:t>
      </w:r>
    </w:p>
    <w:p w14:paraId="02CA22DD" w14:textId="77777777" w:rsidR="004562E3" w:rsidRPr="00C61356" w:rsidRDefault="004562E3" w:rsidP="004562E3">
      <w:pPr>
        <w:spacing w:line="240" w:lineRule="auto"/>
        <w:ind w:firstLine="720"/>
        <w:rPr>
          <w:rFonts w:ascii="Arial" w:hAnsi="Arial" w:cs="Arial"/>
        </w:rPr>
      </w:pPr>
      <w:r w:rsidRPr="00C61356">
        <w:rPr>
          <w:rFonts w:ascii="Arial" w:hAnsi="Arial" w:cs="Arial"/>
        </w:rPr>
        <w:t>(7) When an employee is granted a temporary leave of absence for service in an elective office or for legislative service in accordance with WAC 357-31-374.</w:t>
      </w:r>
    </w:p>
    <w:p w14:paraId="54811560" w14:textId="47B66B13" w:rsidR="0019120A" w:rsidRPr="00C61356" w:rsidRDefault="0019120A" w:rsidP="0019120A">
      <w:pPr>
        <w:spacing w:after="0" w:line="240" w:lineRule="auto"/>
        <w:rPr>
          <w:rFonts w:ascii="Arial" w:eastAsiaTheme="minorEastAsia" w:hAnsi="Arial" w:cs="Arial"/>
        </w:rPr>
      </w:pPr>
      <w:r w:rsidRPr="00C61356">
        <w:rPr>
          <w:rFonts w:ascii="Arial" w:eastAsiaTheme="minorEastAsia" w:hAnsi="Arial" w:cs="Arial"/>
          <w:u w:val="single"/>
        </w:rPr>
        <w:t>AMENDATORY SECTION</w:t>
      </w:r>
      <w:r w:rsidRPr="00C61356">
        <w:rPr>
          <w:rFonts w:ascii="Arial" w:eastAsiaTheme="minorEastAsia" w:hAnsi="Arial" w:cs="Arial"/>
        </w:rPr>
        <w:t> </w:t>
      </w:r>
    </w:p>
    <w:p w14:paraId="5BB802CD" w14:textId="77777777" w:rsidR="00A753BB" w:rsidRPr="00C61356" w:rsidRDefault="00A753BB" w:rsidP="00A753BB">
      <w:pPr>
        <w:pStyle w:val="Heading3"/>
        <w:rPr>
          <w:rFonts w:cs="Arial"/>
          <w:szCs w:val="22"/>
        </w:rPr>
      </w:pPr>
      <w:r w:rsidRPr="00C61356">
        <w:rPr>
          <w:rFonts w:cs="Arial"/>
          <w:szCs w:val="22"/>
        </w:rPr>
        <w:t>WAC 357-31-330  For what reasons may an employer grant leave without pay?  Leave without pay may be allowed for any of the following reasons in accordance with the employer's leave policy:</w:t>
      </w:r>
    </w:p>
    <w:p w14:paraId="3D504C03" w14:textId="77777777" w:rsidR="00A753BB" w:rsidRPr="00C61356" w:rsidRDefault="00A753BB" w:rsidP="00A753BB">
      <w:pPr>
        <w:shd w:val="clear" w:color="auto" w:fill="FFFFFF"/>
        <w:rPr>
          <w:rFonts w:ascii="Arial" w:eastAsia="Times New Roman" w:hAnsi="Arial" w:cs="Arial"/>
        </w:rPr>
      </w:pPr>
      <w:r w:rsidRPr="00C61356">
        <w:rPr>
          <w:rFonts w:ascii="Arial" w:eastAsia="Times New Roman" w:hAnsi="Arial" w:cs="Arial"/>
        </w:rPr>
        <w:t xml:space="preserve">(1) For any reason leave with pay may be granted, as long as the conditions for leave with pay are </w:t>
      </w:r>
      <w:proofErr w:type="gramStart"/>
      <w:r w:rsidRPr="00C61356">
        <w:rPr>
          <w:rFonts w:ascii="Arial" w:eastAsia="Times New Roman" w:hAnsi="Arial" w:cs="Arial"/>
        </w:rPr>
        <w:t>met;</w:t>
      </w:r>
      <w:proofErr w:type="gramEnd"/>
    </w:p>
    <w:p w14:paraId="4C80EB40" w14:textId="77777777" w:rsidR="00A753BB" w:rsidRPr="00C61356" w:rsidRDefault="00A753BB" w:rsidP="00A753BB">
      <w:pPr>
        <w:shd w:val="clear" w:color="auto" w:fill="FFFFFF"/>
        <w:rPr>
          <w:rFonts w:ascii="Arial" w:eastAsia="Times New Roman" w:hAnsi="Arial" w:cs="Arial"/>
        </w:rPr>
      </w:pPr>
      <w:r w:rsidRPr="00C61356">
        <w:rPr>
          <w:rFonts w:ascii="Arial" w:eastAsia="Times New Roman" w:hAnsi="Arial" w:cs="Arial"/>
        </w:rPr>
        <w:t>(2) Educational leave;</w:t>
      </w:r>
    </w:p>
    <w:p w14:paraId="08CDE021" w14:textId="77777777" w:rsidR="00A753BB" w:rsidRPr="00C61356" w:rsidRDefault="00A753BB" w:rsidP="00A753BB">
      <w:pPr>
        <w:shd w:val="clear" w:color="auto" w:fill="FFFFFF"/>
        <w:rPr>
          <w:rFonts w:ascii="Arial" w:eastAsia="Times New Roman" w:hAnsi="Arial" w:cs="Arial"/>
        </w:rPr>
      </w:pPr>
      <w:r w:rsidRPr="00C61356">
        <w:rPr>
          <w:rFonts w:ascii="Arial" w:eastAsia="Times New Roman" w:hAnsi="Arial" w:cs="Arial"/>
        </w:rPr>
        <w:t>(3) Leave for government service in the public interest;</w:t>
      </w:r>
    </w:p>
    <w:p w14:paraId="5D1BF85A" w14:textId="77777777" w:rsidR="00A753BB" w:rsidRPr="00C61356" w:rsidRDefault="00A753BB" w:rsidP="00A753BB">
      <w:pPr>
        <w:shd w:val="clear" w:color="auto" w:fill="FFFFFF"/>
        <w:rPr>
          <w:rFonts w:ascii="Arial" w:eastAsia="Times New Roman" w:hAnsi="Arial" w:cs="Arial"/>
        </w:rPr>
      </w:pPr>
      <w:r w:rsidRPr="00C61356">
        <w:rPr>
          <w:rFonts w:ascii="Arial" w:eastAsia="Times New Roman" w:hAnsi="Arial" w:cs="Arial"/>
        </w:rPr>
        <w:t>(4) Military leave of absence as required by WAC 357-31-370;</w:t>
      </w:r>
    </w:p>
    <w:p w14:paraId="15136E8A" w14:textId="77777777" w:rsidR="00A753BB" w:rsidRPr="00C61356" w:rsidRDefault="00A753BB" w:rsidP="00A753BB">
      <w:pPr>
        <w:shd w:val="clear" w:color="auto" w:fill="FFFFFF"/>
        <w:rPr>
          <w:rFonts w:ascii="Arial" w:eastAsia="Times New Roman" w:hAnsi="Arial" w:cs="Arial"/>
        </w:rPr>
      </w:pPr>
      <w:r w:rsidRPr="00C61356">
        <w:rPr>
          <w:rFonts w:ascii="Arial" w:eastAsia="Times New Roman" w:hAnsi="Arial" w:cs="Arial"/>
        </w:rPr>
        <w:t>(5) Parental leave as required by WAC 357-31-460;</w:t>
      </w:r>
    </w:p>
    <w:p w14:paraId="25844F71" w14:textId="77777777" w:rsidR="00A753BB" w:rsidRPr="00C61356" w:rsidRDefault="00A753BB" w:rsidP="00A753BB">
      <w:pPr>
        <w:shd w:val="clear" w:color="auto" w:fill="FFFFFF"/>
        <w:rPr>
          <w:rFonts w:ascii="Arial" w:eastAsia="Times New Roman" w:hAnsi="Arial" w:cs="Arial"/>
        </w:rPr>
      </w:pPr>
      <w:r w:rsidRPr="00C61356">
        <w:rPr>
          <w:rFonts w:ascii="Arial" w:eastAsia="Times New Roman" w:hAnsi="Arial" w:cs="Arial"/>
        </w:rPr>
        <w:t>(6) Family care emergencies as required by WAC 357-31-295;</w:t>
      </w:r>
    </w:p>
    <w:p w14:paraId="5FE87B70" w14:textId="77777777" w:rsidR="00A753BB" w:rsidRPr="00C61356" w:rsidRDefault="00A753BB" w:rsidP="00A753BB">
      <w:pPr>
        <w:shd w:val="clear" w:color="auto" w:fill="FFFFFF"/>
        <w:rPr>
          <w:rFonts w:ascii="Arial" w:eastAsia="Times New Roman" w:hAnsi="Arial" w:cs="Arial"/>
        </w:rPr>
      </w:pPr>
      <w:r w:rsidRPr="00C61356">
        <w:rPr>
          <w:rFonts w:ascii="Arial" w:eastAsia="Times New Roman" w:hAnsi="Arial" w:cs="Arial"/>
        </w:rPr>
        <w:t>(7) Bereavement or condolence;</w:t>
      </w:r>
    </w:p>
    <w:p w14:paraId="74D46C46" w14:textId="77777777" w:rsidR="00A753BB" w:rsidRPr="00C61356" w:rsidRDefault="00A753BB" w:rsidP="00A753BB">
      <w:pPr>
        <w:shd w:val="clear" w:color="auto" w:fill="FFFFFF"/>
        <w:rPr>
          <w:rFonts w:ascii="Arial" w:eastAsia="Times New Roman" w:hAnsi="Arial" w:cs="Arial"/>
        </w:rPr>
      </w:pPr>
      <w:r w:rsidRPr="00C61356">
        <w:rPr>
          <w:rFonts w:ascii="Arial" w:eastAsia="Times New Roman" w:hAnsi="Arial" w:cs="Arial"/>
        </w:rPr>
        <w:t>(8) Absence due to inclement weather as provided in WAC 357-31-255;</w:t>
      </w:r>
    </w:p>
    <w:p w14:paraId="144AAB8C" w14:textId="77777777" w:rsidR="00A753BB" w:rsidRPr="00C61356" w:rsidRDefault="00A753BB" w:rsidP="00A753BB">
      <w:pPr>
        <w:shd w:val="clear" w:color="auto" w:fill="FFFFFF"/>
        <w:rPr>
          <w:rFonts w:ascii="Arial" w:eastAsia="Times New Roman" w:hAnsi="Arial" w:cs="Arial"/>
        </w:rPr>
      </w:pPr>
      <w:r w:rsidRPr="00C61356">
        <w:rPr>
          <w:rFonts w:ascii="Arial" w:eastAsia="Times New Roman" w:hAnsi="Arial" w:cs="Arial"/>
        </w:rPr>
        <w:lastRenderedPageBreak/>
        <w:t>(9) To accommodate annual work schedules of employees occupying cyclic year positions as specified in WAC 357-19-295;</w:t>
      </w:r>
    </w:p>
    <w:p w14:paraId="0FA3E5EA" w14:textId="77777777" w:rsidR="00A753BB" w:rsidRPr="00C61356" w:rsidRDefault="00A753BB" w:rsidP="00A753BB">
      <w:pPr>
        <w:shd w:val="clear" w:color="auto" w:fill="FFFFFF"/>
        <w:rPr>
          <w:rFonts w:ascii="Arial" w:eastAsia="Times New Roman" w:hAnsi="Arial" w:cs="Arial"/>
        </w:rPr>
      </w:pPr>
      <w:r w:rsidRPr="00C61356">
        <w:rPr>
          <w:rFonts w:ascii="Arial" w:eastAsia="Times New Roman" w:hAnsi="Arial" w:cs="Arial"/>
        </w:rPr>
        <w:t>(10) Serious health condition of an eligible employee's child, spouse, registered domestic partner, or parent as required by WAC 357-31-525;</w:t>
      </w:r>
    </w:p>
    <w:p w14:paraId="1DB8037F" w14:textId="77777777" w:rsidR="00A753BB" w:rsidRPr="00C61356" w:rsidRDefault="00A753BB" w:rsidP="00A753BB">
      <w:pPr>
        <w:shd w:val="clear" w:color="auto" w:fill="FFFFFF"/>
        <w:rPr>
          <w:rFonts w:ascii="Arial" w:eastAsia="Times New Roman" w:hAnsi="Arial" w:cs="Arial"/>
        </w:rPr>
      </w:pPr>
      <w:r w:rsidRPr="00C61356">
        <w:rPr>
          <w:rFonts w:ascii="Arial" w:eastAsia="Times New Roman" w:hAnsi="Arial" w:cs="Arial"/>
        </w:rPr>
        <w:t>(11) Leave taken voluntarily to reduce the effect of an employer's layoff;</w:t>
      </w:r>
    </w:p>
    <w:p w14:paraId="376AEF89" w14:textId="77777777" w:rsidR="00A753BB" w:rsidRPr="00C61356" w:rsidRDefault="00A753BB" w:rsidP="00A753BB">
      <w:pPr>
        <w:shd w:val="clear" w:color="auto" w:fill="FFFFFF"/>
        <w:rPr>
          <w:rFonts w:ascii="Arial" w:eastAsia="Times New Roman" w:hAnsi="Arial" w:cs="Arial"/>
        </w:rPr>
      </w:pPr>
      <w:r w:rsidRPr="00C61356">
        <w:rPr>
          <w:rFonts w:ascii="Arial" w:eastAsia="Times New Roman" w:hAnsi="Arial" w:cs="Arial"/>
        </w:rPr>
        <w:t>(12) Leave that is authorized in advance by the appointing authority as part of a plan to reasonably accommodate a person of disability;</w:t>
      </w:r>
    </w:p>
    <w:p w14:paraId="1C7430CA" w14:textId="77777777" w:rsidR="00A753BB" w:rsidRPr="00C61356" w:rsidRDefault="00A753BB" w:rsidP="00A753BB">
      <w:pPr>
        <w:shd w:val="clear" w:color="auto" w:fill="FFFFFF"/>
        <w:rPr>
          <w:rFonts w:ascii="Arial" w:eastAsia="Times New Roman" w:hAnsi="Arial" w:cs="Arial"/>
        </w:rPr>
      </w:pPr>
      <w:r w:rsidRPr="00C61356">
        <w:rPr>
          <w:rFonts w:ascii="Arial" w:eastAsia="Times New Roman" w:hAnsi="Arial" w:cs="Arial"/>
        </w:rPr>
        <w:t>(13) Employees receiving time loss compensation; or</w:t>
      </w:r>
    </w:p>
    <w:p w14:paraId="412DCA53" w14:textId="6E9892A3" w:rsidR="004835E8" w:rsidRPr="00C61356" w:rsidRDefault="00A753BB" w:rsidP="00F66F77">
      <w:pPr>
        <w:shd w:val="clear" w:color="auto" w:fill="FFFFFF"/>
        <w:spacing w:after="0"/>
        <w:rPr>
          <w:rFonts w:ascii="Arial" w:eastAsia="Times New Roman" w:hAnsi="Arial" w:cs="Arial"/>
        </w:rPr>
      </w:pPr>
      <w:r w:rsidRPr="00C61356">
        <w:rPr>
          <w:rFonts w:ascii="Arial" w:eastAsia="Times New Roman" w:hAnsi="Arial" w:cs="Arial"/>
        </w:rPr>
        <w:t xml:space="preserve">(14) For an employee to protect themselves, or a relative or household member, from </w:t>
      </w:r>
      <w:r w:rsidRPr="00FA5945">
        <w:rPr>
          <w:rFonts w:ascii="Arial" w:eastAsia="Times New Roman" w:hAnsi="Arial" w:cs="Arial"/>
          <w:strike/>
        </w:rPr>
        <w:t>((risks related to coronavirus disease 2019 (COVID-19)))</w:t>
      </w:r>
      <w:r w:rsidRPr="00C61356">
        <w:rPr>
          <w:rFonts w:ascii="Arial" w:eastAsia="Times New Roman" w:hAnsi="Arial" w:cs="Arial"/>
        </w:rPr>
        <w:t xml:space="preserve"> </w:t>
      </w:r>
      <w:r w:rsidRPr="00C61356">
        <w:rPr>
          <w:rFonts w:ascii="Arial" w:eastAsia="Times New Roman" w:hAnsi="Arial" w:cs="Arial"/>
          <w:u w:val="single"/>
        </w:rPr>
        <w:t>risk of exposure to an infectious or contagious disease</w:t>
      </w:r>
      <w:r w:rsidRPr="00C61356">
        <w:rPr>
          <w:rFonts w:ascii="Arial" w:eastAsia="Times New Roman" w:hAnsi="Arial" w:cs="Arial"/>
        </w:rPr>
        <w:t>. In determining whether to grant leave, an employer may consider current workload demands and business needs that require employees to perform their duties.</w:t>
      </w:r>
    </w:p>
    <w:p w14:paraId="2C60E9D5" w14:textId="77777777" w:rsidR="00FE6771" w:rsidRDefault="00FE6771" w:rsidP="00F66F77">
      <w:pPr>
        <w:shd w:val="clear" w:color="auto" w:fill="FFFFFF"/>
        <w:spacing w:after="0"/>
        <w:rPr>
          <w:rFonts w:ascii="Arial" w:eastAsiaTheme="minorEastAsia" w:hAnsi="Arial" w:cs="Arial"/>
          <w:u w:val="single"/>
        </w:rPr>
      </w:pPr>
    </w:p>
    <w:p w14:paraId="7B0B1550" w14:textId="77777777" w:rsidR="00F66F77" w:rsidRDefault="00F66F77" w:rsidP="00F66F77">
      <w:pPr>
        <w:shd w:val="clear" w:color="auto" w:fill="FFFFFF"/>
        <w:spacing w:after="0"/>
        <w:rPr>
          <w:rFonts w:ascii="Arial" w:eastAsiaTheme="minorEastAsia" w:hAnsi="Arial" w:cs="Arial"/>
          <w:u w:val="single"/>
        </w:rPr>
      </w:pPr>
    </w:p>
    <w:p w14:paraId="32162230" w14:textId="7D832CF7" w:rsidR="00200152" w:rsidRPr="00C61356" w:rsidRDefault="00200152" w:rsidP="00200152">
      <w:pPr>
        <w:shd w:val="clear" w:color="auto" w:fill="FFFFFF"/>
        <w:rPr>
          <w:rFonts w:ascii="Arial" w:hAnsi="Arial" w:cs="Arial"/>
          <w:bCs/>
          <w:u w:val="single"/>
        </w:rPr>
      </w:pPr>
      <w:r w:rsidRPr="00C61356">
        <w:rPr>
          <w:rFonts w:ascii="Arial" w:eastAsiaTheme="minorEastAsia" w:hAnsi="Arial" w:cs="Arial"/>
          <w:u w:val="single"/>
        </w:rPr>
        <w:t>AMENDATORY SECTION</w:t>
      </w:r>
      <w:r w:rsidRPr="00C61356">
        <w:rPr>
          <w:rFonts w:ascii="Arial" w:eastAsiaTheme="minorEastAsia" w:hAnsi="Arial" w:cs="Arial"/>
        </w:rPr>
        <w:t> </w:t>
      </w:r>
    </w:p>
    <w:p w14:paraId="2F4E2DC5" w14:textId="456E6D05" w:rsidR="00200152" w:rsidRPr="00C61356" w:rsidRDefault="00200152" w:rsidP="004835E8">
      <w:pPr>
        <w:pStyle w:val="Heading3"/>
        <w:rPr>
          <w:rFonts w:cs="Arial"/>
          <w:szCs w:val="22"/>
        </w:rPr>
      </w:pPr>
      <w:r w:rsidRPr="00C61356">
        <w:rPr>
          <w:rFonts w:cs="Arial"/>
          <w:szCs w:val="22"/>
        </w:rPr>
        <w:t>WAC 357-31-567 When must an employer grant the use of recognition leave?</w:t>
      </w:r>
    </w:p>
    <w:p w14:paraId="066A07F9" w14:textId="2C33DE48" w:rsidR="004562E3" w:rsidRPr="00C61356" w:rsidRDefault="004562E3" w:rsidP="004562E3">
      <w:pPr>
        <w:spacing w:line="240" w:lineRule="auto"/>
        <w:rPr>
          <w:rFonts w:ascii="Arial" w:hAnsi="Arial" w:cs="Arial"/>
        </w:rPr>
      </w:pPr>
      <w:r w:rsidRPr="00C61356">
        <w:rPr>
          <w:rFonts w:ascii="Arial" w:hAnsi="Arial" w:cs="Arial"/>
        </w:rPr>
        <w:t>(1) An employee's request to use recognition leave must be approved under the following conditions:</w:t>
      </w:r>
    </w:p>
    <w:p w14:paraId="2CC07CBA" w14:textId="77777777" w:rsidR="004562E3" w:rsidRPr="00C61356" w:rsidRDefault="004562E3" w:rsidP="004562E3">
      <w:pPr>
        <w:spacing w:line="240" w:lineRule="auto"/>
        <w:ind w:firstLine="720"/>
        <w:rPr>
          <w:rFonts w:ascii="Arial" w:hAnsi="Arial" w:cs="Arial"/>
        </w:rPr>
      </w:pPr>
      <w:r w:rsidRPr="00C61356">
        <w:rPr>
          <w:rFonts w:ascii="Arial" w:hAnsi="Arial" w:cs="Arial"/>
        </w:rPr>
        <w:t>(a) An employee must be granted the use of recognition leave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6F7DB7EB" w14:textId="77777777" w:rsidR="004562E3" w:rsidRPr="00C61356" w:rsidRDefault="004562E3" w:rsidP="004562E3">
      <w:pPr>
        <w:spacing w:line="240" w:lineRule="auto"/>
        <w:ind w:firstLine="720"/>
        <w:rPr>
          <w:rFonts w:ascii="Arial" w:hAnsi="Arial" w:cs="Arial"/>
        </w:rPr>
      </w:pPr>
      <w:r w:rsidRPr="00C61356">
        <w:rPr>
          <w:rFonts w:ascii="Arial" w:hAnsi="Arial" w:cs="Arial"/>
        </w:rPr>
        <w:t>(b) In accordance with WAC 357-31-373, an employee must be granted the use of recognition leave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4505B618" w14:textId="77777777" w:rsidR="004562E3" w:rsidRPr="00C61356" w:rsidRDefault="004562E3" w:rsidP="004562E3">
      <w:pPr>
        <w:spacing w:line="240" w:lineRule="auto"/>
        <w:ind w:firstLine="720"/>
        <w:rPr>
          <w:rFonts w:ascii="Arial" w:hAnsi="Arial" w:cs="Arial"/>
        </w:rPr>
      </w:pPr>
      <w:r w:rsidRPr="00C61356">
        <w:rPr>
          <w:rFonts w:ascii="Arial" w:hAnsi="Arial" w:cs="Arial"/>
        </w:rPr>
        <w:t>(c)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RCW;</w:t>
      </w:r>
    </w:p>
    <w:p w14:paraId="07279D26" w14:textId="77777777" w:rsidR="004562E3" w:rsidRPr="00C61356" w:rsidRDefault="004562E3" w:rsidP="004562E3">
      <w:pPr>
        <w:spacing w:line="240" w:lineRule="auto"/>
        <w:ind w:firstLine="720"/>
        <w:rPr>
          <w:rFonts w:ascii="Arial" w:hAnsi="Arial" w:cs="Arial"/>
        </w:rPr>
      </w:pPr>
      <w:r w:rsidRPr="00C61356">
        <w:rPr>
          <w:rFonts w:ascii="Arial" w:hAnsi="Arial" w:cs="Arial"/>
        </w:rPr>
        <w:t>(d) When a high-risk employee((</w:t>
      </w:r>
      <w:r w:rsidRPr="00C61356">
        <w:rPr>
          <w:rFonts w:ascii="Arial" w:hAnsi="Arial" w:cs="Arial"/>
          <w:strike/>
        </w:rPr>
        <w:t>, as defined in RCW 49.17.062,</w:t>
      </w:r>
      <w:r w:rsidRPr="00C61356">
        <w:rPr>
          <w:rFonts w:ascii="Arial" w:hAnsi="Arial" w:cs="Arial"/>
        </w:rPr>
        <w:t>)) seeks ((</w:t>
      </w:r>
      <w:r w:rsidRPr="00C61356">
        <w:rPr>
          <w:rFonts w:ascii="Arial" w:hAnsi="Arial" w:cs="Arial"/>
          <w:strike/>
        </w:rPr>
        <w:t>a reasonable</w:t>
      </w:r>
      <w:r w:rsidRPr="00C61356">
        <w:rPr>
          <w:rFonts w:ascii="Arial" w:hAnsi="Arial" w:cs="Arial"/>
        </w:rPr>
        <w:t xml:space="preserve">)) </w:t>
      </w:r>
      <w:r w:rsidRPr="00C61356">
        <w:rPr>
          <w:rFonts w:ascii="Arial" w:hAnsi="Arial" w:cs="Arial"/>
          <w:u w:val="single"/>
        </w:rPr>
        <w:t>an</w:t>
      </w:r>
      <w:r w:rsidRPr="00C61356">
        <w:rPr>
          <w:rFonts w:ascii="Arial" w:hAnsi="Arial" w:cs="Arial"/>
        </w:rPr>
        <w:t xml:space="preserve"> accommodation to protect themselves from the risk of exposure to an infectious or contagious disease and the employer determines no other accommodation is reasonable besides the use of leave; and</w:t>
      </w:r>
    </w:p>
    <w:p w14:paraId="15C479E6" w14:textId="77777777" w:rsidR="004562E3" w:rsidRPr="00C61356" w:rsidRDefault="004562E3" w:rsidP="004562E3">
      <w:pPr>
        <w:spacing w:line="240" w:lineRule="auto"/>
        <w:ind w:firstLine="720"/>
        <w:rPr>
          <w:rFonts w:ascii="Arial" w:hAnsi="Arial" w:cs="Arial"/>
        </w:rPr>
      </w:pPr>
      <w:r w:rsidRPr="00C61356">
        <w:rPr>
          <w:rFonts w:ascii="Arial" w:hAnsi="Arial" w:cs="Arial"/>
        </w:rPr>
        <w:t>(e) When an employee requests to use recognition leave when granted a temporary leave of absence for legislative service in accordance with WAC 357-31-374(2).</w:t>
      </w:r>
    </w:p>
    <w:p w14:paraId="67D92AAF" w14:textId="14B79AD7" w:rsidR="00200152" w:rsidRPr="00C61356" w:rsidRDefault="004562E3" w:rsidP="00F66F77">
      <w:pPr>
        <w:spacing w:after="0" w:line="240" w:lineRule="auto"/>
        <w:ind w:firstLine="720"/>
        <w:rPr>
          <w:rFonts w:ascii="Arial" w:hAnsi="Arial" w:cs="Arial"/>
        </w:rPr>
      </w:pPr>
      <w:r w:rsidRPr="00C61356">
        <w:rPr>
          <w:rFonts w:ascii="Arial" w:hAnsi="Arial" w:cs="Arial"/>
        </w:rPr>
        <w:lastRenderedPageBreak/>
        <w:t>(2) In accordance with the employer's leave policy, approval for the reasons listed in (1)(a) and (b) above may be subject to verification that the condition or circumstance exists.</w:t>
      </w:r>
    </w:p>
    <w:p w14:paraId="69898CF4" w14:textId="77777777" w:rsidR="004835E8" w:rsidRDefault="004835E8" w:rsidP="00F66F77">
      <w:pPr>
        <w:spacing w:after="0" w:line="240" w:lineRule="auto"/>
        <w:rPr>
          <w:rFonts w:ascii="Arial" w:hAnsi="Arial" w:cs="Arial"/>
        </w:rPr>
      </w:pPr>
    </w:p>
    <w:p w14:paraId="6D056170" w14:textId="77777777" w:rsidR="00F66F77" w:rsidRPr="00C61356" w:rsidRDefault="00F66F77" w:rsidP="00F66F77">
      <w:pPr>
        <w:spacing w:after="0" w:line="240" w:lineRule="auto"/>
        <w:rPr>
          <w:rFonts w:ascii="Arial" w:hAnsi="Arial" w:cs="Arial"/>
        </w:rPr>
      </w:pPr>
    </w:p>
    <w:p w14:paraId="55C11A4E" w14:textId="1320FC2A" w:rsidR="0019120A" w:rsidRPr="00C61356" w:rsidRDefault="0019120A" w:rsidP="0019120A">
      <w:pPr>
        <w:rPr>
          <w:rFonts w:ascii="Arial" w:hAnsi="Arial" w:cs="Arial"/>
          <w:b/>
          <w:bCs/>
        </w:rPr>
      </w:pPr>
      <w:r w:rsidRPr="00C61356">
        <w:rPr>
          <w:rFonts w:ascii="Arial" w:hAnsi="Arial" w:cs="Arial"/>
          <w:u w:val="single"/>
        </w:rPr>
        <w:t>REFERENCE ONLY</w:t>
      </w:r>
    </w:p>
    <w:p w14:paraId="5483E7E8" w14:textId="76F70562" w:rsidR="0019120A" w:rsidRPr="00C61356" w:rsidRDefault="0019120A" w:rsidP="0019120A">
      <w:pPr>
        <w:shd w:val="clear" w:color="auto" w:fill="FFFFFF"/>
        <w:spacing w:before="75" w:after="150" w:line="240" w:lineRule="auto"/>
        <w:outlineLvl w:val="2"/>
        <w:rPr>
          <w:rFonts w:ascii="Arial" w:eastAsia="Times New Roman" w:hAnsi="Arial" w:cs="Arial"/>
          <w:b/>
          <w:bCs/>
          <w:color w:val="000000"/>
        </w:rPr>
      </w:pPr>
      <w:r w:rsidRPr="00C61356">
        <w:rPr>
          <w:rFonts w:ascii="Arial" w:eastAsia="Times New Roman" w:hAnsi="Arial" w:cs="Arial"/>
          <w:b/>
          <w:bCs/>
          <w:color w:val="000000"/>
        </w:rPr>
        <w:t>RCW </w:t>
      </w:r>
      <w:hyperlink r:id="rId101" w:history="1">
        <w:r w:rsidRPr="00C61356">
          <w:rPr>
            <w:rFonts w:ascii="Arial" w:eastAsia="Times New Roman" w:hAnsi="Arial" w:cs="Arial"/>
            <w:b/>
            <w:bCs/>
            <w:color w:val="2B674D"/>
            <w:u w:val="single"/>
          </w:rPr>
          <w:t>49.17.062</w:t>
        </w:r>
      </w:hyperlink>
      <w:r w:rsidRPr="00C61356">
        <w:rPr>
          <w:rFonts w:ascii="Arial" w:eastAsia="Times New Roman" w:hAnsi="Arial" w:cs="Arial"/>
          <w:b/>
          <w:bCs/>
          <w:color w:val="000000"/>
        </w:rPr>
        <w:t xml:space="preserve"> Employer—Public health emergency—Infectious or contagious diseases—Positive tests—Reporting, duty, and procedure.</w:t>
      </w:r>
    </w:p>
    <w:p w14:paraId="636492C9" w14:textId="7474C2C8"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 During a public health emergency:</w:t>
      </w:r>
    </w:p>
    <w:p w14:paraId="24600B41" w14:textId="2E8E9180"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(a) An employer with more than 50 employees at a workplace or worksite, within 24 hours of confirming that 10 or more of their employees at the workplace or worksite in this state have tested positive for the infectious or contagious disease that is the subject of the public health emergency, must report the positive tests to the department in a form prescribed by the department.</w:t>
      </w:r>
    </w:p>
    <w:p w14:paraId="139C751D" w14:textId="63DB1D95"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The department must consult with the department of health on the infectious or contagious disease that is the subject of the public health emergency:</w:t>
      </w:r>
    </w:p>
    <w:p w14:paraId="74458B5C" w14:textId="7F702A5F"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(i) Before issuing regulatory guidance, rules, directives, or orders for health care facilities under this section; and</w:t>
      </w:r>
    </w:p>
    <w:p w14:paraId="2B00409C" w14:textId="10759415"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(ii) When investigating health care entities and issuing citations under this section.</w:t>
      </w:r>
    </w:p>
    <w:p w14:paraId="43BB61A3" w14:textId="6F05B8D8"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(c) The report required in (a) of this subsection may not include any employee names or personal identifying information.</w:t>
      </w:r>
    </w:p>
    <w:p w14:paraId="069D7034" w14:textId="51D3D837"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 The department may use the reports in subsection (1) of this section to identify potential clusters of infections at specific workplaces or industries and investigate workplaces for violations of this chapter.</w:t>
      </w:r>
    </w:p>
    <w:p w14:paraId="60E62107" w14:textId="1DB42F9E"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 During a public health emergency, the name, email and residential addresses, license plate number, and other personally identifiable information regarding employees of the department are exempt from disclosure under chapter </w:t>
      </w:r>
      <w:hyperlink r:id="rId102" w:history="1">
        <w:r w:rsidRPr="00C61356">
          <w:rPr>
            <w:rFonts w:ascii="Arial" w:eastAsia="Times New Roman" w:hAnsi="Arial" w:cs="Arial"/>
            <w:b/>
            <w:bCs/>
            <w:color w:val="2B674D"/>
            <w:u w:val="single"/>
          </w:rPr>
          <w:t>42.56</w:t>
        </w:r>
      </w:hyperlink>
      <w:r w:rsidRPr="00C61356">
        <w:rPr>
          <w:rFonts w:ascii="Arial" w:eastAsia="Times New Roman" w:hAnsi="Arial" w:cs="Arial"/>
          <w:color w:val="000000"/>
        </w:rPr>
        <w:t> RCW to the extent that the disclosure would violate their right to privacy or pose a risk to their personal safety or security.</w:t>
      </w:r>
    </w:p>
    <w:p w14:paraId="778DF4D6" w14:textId="485E03B6"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(4) This section does not require an employee to disclose any medical condition or diagnosis to their employer.</w:t>
      </w:r>
    </w:p>
    <w:p w14:paraId="1BF6BA25" w14:textId="011E41A8"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(5) This section does not alter or eliminate any other reporting obligations an employer has under state or federal law.</w:t>
      </w:r>
    </w:p>
    <w:p w14:paraId="634FCF6B" w14:textId="4EB820B1"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(6)(a) During a public health emergency, no employer may discharge, permanently replace, or in any manner discriminate against an employee who is high risk as a result of the employee:</w:t>
      </w:r>
    </w:p>
    <w:p w14:paraId="07D51BA2" w14:textId="52648233"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(i) Seeking accommodation that protects them from the risk of exposure to the infectious or contagious disease; or</w:t>
      </w:r>
    </w:p>
    <w:p w14:paraId="1591CE93" w14:textId="3AFCA227"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(ii) If no accommodation is reasonable, utilizing all available leave options, including but not limited to leave without pay and unemployment insurance, until completion of the public health emergency or accommodation is made available.</w:t>
      </w:r>
    </w:p>
    <w:p w14:paraId="15AEA423" w14:textId="6605BF41"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This subsection (6) does not alter or diminish any existing remedy available to the worker under current state or federal law.</w:t>
      </w:r>
    </w:p>
    <w:p w14:paraId="67DB982C" w14:textId="0F40A62C"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(c) For the purposes of this subsection (6), "an employee who is high risk" means an employee who:</w:t>
      </w:r>
    </w:p>
    <w:p w14:paraId="6E69B86F" w14:textId="2D85C47D"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(i) Due to age or an underlying health condition, is at a high risk of severe illness from the disease that is the subject of the public health emergency, as defined by the centers for disease control and prevention; and</w:t>
      </w:r>
    </w:p>
    <w:p w14:paraId="68D55C1A" w14:textId="5D383E29"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(ii) A medical provider has recommended the employee's removal from the workforce because of their high risk of severe illness.</w:t>
      </w:r>
    </w:p>
    <w:p w14:paraId="5C3B534B" w14:textId="20DCF935"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lastRenderedPageBreak/>
        <w:t>(7) For the purposes of this section, "public health emergency" means a declaration or order concerning any infectious or contagious diseases, including a pandemic and is issued as follows:</w:t>
      </w:r>
    </w:p>
    <w:p w14:paraId="6AF75C21" w14:textId="3A468D41" w:rsidR="0019120A" w:rsidRPr="00C61356" w:rsidRDefault="0019120A" w:rsidP="0019120A">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(a) The president of the United States has declared a national or regional emergency that covers every county in the state of Washington; or</w:t>
      </w:r>
    </w:p>
    <w:p w14:paraId="57806861" w14:textId="130F2CAB" w:rsidR="0019120A" w:rsidRPr="00C61356" w:rsidRDefault="0019120A" w:rsidP="000845D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The governor of Washington has declared a state of emergency under RCW </w:t>
      </w:r>
      <w:hyperlink r:id="rId103" w:history="1">
        <w:r w:rsidRPr="00C61356">
          <w:rPr>
            <w:rFonts w:ascii="Arial" w:eastAsia="Times New Roman" w:hAnsi="Arial" w:cs="Arial"/>
            <w:b/>
            <w:bCs/>
            <w:color w:val="2B674D"/>
            <w:u w:val="single"/>
          </w:rPr>
          <w:t>43.06.010</w:t>
        </w:r>
      </w:hyperlink>
      <w:r w:rsidRPr="00C61356">
        <w:rPr>
          <w:rFonts w:ascii="Arial" w:eastAsia="Times New Roman" w:hAnsi="Arial" w:cs="Arial"/>
          <w:color w:val="000000"/>
        </w:rPr>
        <w:t>(12) in every county in the state.</w:t>
      </w:r>
    </w:p>
    <w:p w14:paraId="64B97C21" w14:textId="77777777" w:rsidR="000845DD" w:rsidRPr="00C61356" w:rsidRDefault="000845DD" w:rsidP="000845DD">
      <w:pPr>
        <w:shd w:val="clear" w:color="auto" w:fill="FFFFFF"/>
        <w:spacing w:after="0" w:line="240" w:lineRule="auto"/>
        <w:ind w:firstLine="720"/>
        <w:rPr>
          <w:rFonts w:ascii="Arial" w:eastAsia="Times New Roman" w:hAnsi="Arial" w:cs="Arial"/>
          <w:color w:val="000000"/>
        </w:rPr>
      </w:pPr>
    </w:p>
    <w:bookmarkEnd w:id="0"/>
    <w:p w14:paraId="323EB15B" w14:textId="5A3F710E" w:rsidR="00794571" w:rsidRDefault="00794571" w:rsidP="00F66F77">
      <w:pPr>
        <w:pStyle w:val="Heading1"/>
        <w:spacing w:before="0" w:line="240" w:lineRule="auto"/>
        <w:rPr>
          <w:rFonts w:cs="Arial"/>
          <w:szCs w:val="22"/>
          <w:u w:val="single"/>
        </w:rPr>
      </w:pPr>
      <w:r w:rsidRPr="00F66F77">
        <w:rPr>
          <w:rFonts w:cs="Arial"/>
          <w:szCs w:val="22"/>
          <w:u w:val="single"/>
        </w:rPr>
        <w:t>Item #</w:t>
      </w:r>
      <w:r w:rsidR="004668B3">
        <w:rPr>
          <w:rFonts w:cs="Arial"/>
          <w:szCs w:val="22"/>
          <w:u w:val="single"/>
        </w:rPr>
        <w:t>5</w:t>
      </w:r>
      <w:r w:rsidRPr="00F66F77">
        <w:rPr>
          <w:rFonts w:cs="Arial"/>
          <w:szCs w:val="22"/>
          <w:u w:val="single"/>
        </w:rPr>
        <w:t xml:space="preserve"> – Exempt Return Rights </w:t>
      </w:r>
    </w:p>
    <w:p w14:paraId="1826B907" w14:textId="77777777" w:rsidR="00F66F77" w:rsidRPr="00F66F77" w:rsidRDefault="00F66F77" w:rsidP="00F66F77"/>
    <w:p w14:paraId="2A26BCB6" w14:textId="6724B2E8" w:rsidR="00794571" w:rsidRPr="00C61356" w:rsidRDefault="00794571" w:rsidP="00F66F77">
      <w:pPr>
        <w:spacing w:line="240" w:lineRule="auto"/>
        <w:rPr>
          <w:rFonts w:ascii="Arial" w:hAnsi="Arial" w:cs="Arial"/>
        </w:rPr>
      </w:pPr>
      <w:r w:rsidRPr="00C61356">
        <w:rPr>
          <w:rStyle w:val="Heading2Char"/>
        </w:rPr>
        <w:t>Staff note:</w:t>
      </w:r>
      <w:r w:rsidRPr="00C61356">
        <w:rPr>
          <w:rStyle w:val="Heading2Char"/>
          <w:color w:val="0070C0"/>
        </w:rPr>
        <w:t xml:space="preserve">  </w:t>
      </w:r>
      <w:hyperlink r:id="rId104" w:history="1">
        <w:r w:rsidRPr="00C61356">
          <w:rPr>
            <w:rStyle w:val="Heading2Char"/>
            <w:color w:val="0070C0"/>
          </w:rPr>
          <w:t>ESHB 1361</w:t>
        </w:r>
      </w:hyperlink>
      <w:r w:rsidRPr="00C61356">
        <w:rPr>
          <w:rFonts w:ascii="Arial" w:hAnsi="Arial" w:cs="Arial"/>
          <w:color w:val="0070C0"/>
        </w:rPr>
        <w:t xml:space="preserve"> </w:t>
      </w:r>
      <w:r w:rsidRPr="00C61356">
        <w:rPr>
          <w:rFonts w:ascii="Arial" w:hAnsi="Arial" w:cs="Arial"/>
        </w:rPr>
        <w:t>passed during the 2023 legislative session, Chapter 148,</w:t>
      </w:r>
      <w:r w:rsidR="00370D4F" w:rsidRPr="00C61356">
        <w:rPr>
          <w:rFonts w:ascii="Arial" w:hAnsi="Arial" w:cs="Arial"/>
        </w:rPr>
        <w:t>Laws of</w:t>
      </w:r>
      <w:r w:rsidRPr="00C61356">
        <w:rPr>
          <w:rFonts w:ascii="Arial" w:hAnsi="Arial" w:cs="Arial"/>
        </w:rPr>
        <w:t xml:space="preserve"> 2023, effective July 23, 2023. </w:t>
      </w:r>
      <w:r w:rsidR="00370D4F" w:rsidRPr="00C61356">
        <w:rPr>
          <w:rFonts w:ascii="Arial" w:hAnsi="Arial" w:cs="Arial"/>
        </w:rPr>
        <w:t>Section 3 of this</w:t>
      </w:r>
      <w:r w:rsidRPr="00C61356">
        <w:rPr>
          <w:rFonts w:ascii="Arial" w:hAnsi="Arial" w:cs="Arial"/>
        </w:rPr>
        <w:t xml:space="preserve"> bill </w:t>
      </w:r>
      <w:r w:rsidR="00370D4F" w:rsidRPr="00C61356">
        <w:rPr>
          <w:rFonts w:ascii="Arial" w:hAnsi="Arial" w:cs="Arial"/>
        </w:rPr>
        <w:t xml:space="preserve">amends </w:t>
      </w:r>
      <w:r w:rsidRPr="00C61356">
        <w:rPr>
          <w:rFonts w:ascii="Arial" w:hAnsi="Arial" w:cs="Arial"/>
        </w:rPr>
        <w:t xml:space="preserve">RCW 41.06.070, Exemptions to chapter – Right of reversion, </w:t>
      </w:r>
      <w:r w:rsidR="00383B5F" w:rsidRPr="00C61356">
        <w:rPr>
          <w:rFonts w:ascii="Arial" w:hAnsi="Arial" w:cs="Arial"/>
        </w:rPr>
        <w:t>to add</w:t>
      </w:r>
      <w:r w:rsidR="00E92FA7" w:rsidRPr="00C61356">
        <w:rPr>
          <w:rFonts w:ascii="Arial" w:hAnsi="Arial" w:cs="Arial"/>
        </w:rPr>
        <w:t xml:space="preserve"> subsection 6 </w:t>
      </w:r>
      <w:r w:rsidR="00696A67" w:rsidRPr="00C61356">
        <w:rPr>
          <w:rFonts w:ascii="Arial" w:hAnsi="Arial" w:cs="Arial"/>
        </w:rPr>
        <w:t xml:space="preserve">which suspends a </w:t>
      </w:r>
      <w:proofErr w:type="spellStart"/>
      <w:proofErr w:type="gramStart"/>
      <w:r w:rsidR="00696A67" w:rsidRPr="00C61356">
        <w:rPr>
          <w:rFonts w:ascii="Arial" w:hAnsi="Arial" w:cs="Arial"/>
        </w:rPr>
        <w:t>persons</w:t>
      </w:r>
      <w:proofErr w:type="spellEnd"/>
      <w:proofErr w:type="gramEnd"/>
      <w:r w:rsidR="00696A67" w:rsidRPr="00C61356">
        <w:rPr>
          <w:rFonts w:ascii="Arial" w:hAnsi="Arial" w:cs="Arial"/>
        </w:rPr>
        <w:t xml:space="preserve"> right to reversion during the pendency of an </w:t>
      </w:r>
      <w:r w:rsidR="00771A4D" w:rsidRPr="00C61356">
        <w:rPr>
          <w:rFonts w:ascii="Arial" w:hAnsi="Arial" w:cs="Arial"/>
        </w:rPr>
        <w:t xml:space="preserve">workplace </w:t>
      </w:r>
      <w:r w:rsidR="00696A67" w:rsidRPr="00C61356">
        <w:rPr>
          <w:rFonts w:ascii="Arial" w:hAnsi="Arial" w:cs="Arial"/>
        </w:rPr>
        <w:t xml:space="preserve">investigation if </w:t>
      </w:r>
      <w:r w:rsidRPr="00C61356">
        <w:rPr>
          <w:rFonts w:ascii="Arial" w:hAnsi="Arial" w:cs="Arial"/>
        </w:rPr>
        <w:t xml:space="preserve">the allegations being investigated could result in a finding of gross misconduct or malfeasance.  </w:t>
      </w:r>
    </w:p>
    <w:p w14:paraId="51029426" w14:textId="7A2CF50F" w:rsidR="00870E8F" w:rsidRDefault="004E77DB" w:rsidP="00870E8F">
      <w:pPr>
        <w:rPr>
          <w:rFonts w:ascii="Arial" w:hAnsi="Arial" w:cs="Arial"/>
        </w:rPr>
      </w:pPr>
      <w:r w:rsidRPr="00C61356">
        <w:rPr>
          <w:rFonts w:ascii="Arial" w:hAnsi="Arial" w:cs="Arial"/>
        </w:rPr>
        <w:t xml:space="preserve">We are proposing to amend WAC 357-04-030, 357-19-195 and 357-19-200 </w:t>
      </w:r>
      <w:r w:rsidR="00914123" w:rsidRPr="00C61356">
        <w:rPr>
          <w:rFonts w:ascii="Arial" w:hAnsi="Arial" w:cs="Arial"/>
        </w:rPr>
        <w:t>clarify</w:t>
      </w:r>
      <w:r w:rsidRPr="00C61356">
        <w:rPr>
          <w:rFonts w:ascii="Arial" w:hAnsi="Arial" w:cs="Arial"/>
        </w:rPr>
        <w:t xml:space="preserve"> that if a</w:t>
      </w:r>
      <w:r w:rsidR="00914123" w:rsidRPr="00C61356">
        <w:rPr>
          <w:rFonts w:ascii="Arial" w:hAnsi="Arial" w:cs="Arial"/>
        </w:rPr>
        <w:t xml:space="preserve"> permanent </w:t>
      </w:r>
      <w:r w:rsidRPr="00C61356">
        <w:rPr>
          <w:rFonts w:ascii="Arial" w:hAnsi="Arial" w:cs="Arial"/>
        </w:rPr>
        <w:t xml:space="preserve">employee exercises their return to classified service from exempt service, the right of return may not be exercised if the employee is terminated from the exempt position for gross misconduct or malfeasance, or during the pendency of an investigation if the employee has been given written notice that they are the subject of an active workplace investigation which may result in a finding of gross misconduct or malfeasance. We are also proposing to create WAC 357-19-197 to </w:t>
      </w:r>
      <w:r w:rsidR="00914123" w:rsidRPr="00C61356">
        <w:rPr>
          <w:rFonts w:ascii="Arial" w:hAnsi="Arial" w:cs="Arial"/>
        </w:rPr>
        <w:t>address</w:t>
      </w:r>
      <w:r w:rsidRPr="00C61356">
        <w:rPr>
          <w:rFonts w:ascii="Arial" w:hAnsi="Arial" w:cs="Arial"/>
        </w:rPr>
        <w:t xml:space="preserve"> </w:t>
      </w:r>
      <w:r w:rsidR="00914123" w:rsidRPr="00C61356">
        <w:rPr>
          <w:rFonts w:ascii="Arial" w:hAnsi="Arial" w:cs="Arial"/>
        </w:rPr>
        <w:t>what information a</w:t>
      </w:r>
      <w:r w:rsidRPr="00C61356">
        <w:rPr>
          <w:rFonts w:ascii="Arial" w:hAnsi="Arial" w:cs="Arial"/>
        </w:rPr>
        <w:t xml:space="preserve"> receiving employer </w:t>
      </w:r>
      <w:r w:rsidR="00914123" w:rsidRPr="00C61356">
        <w:rPr>
          <w:rFonts w:ascii="Arial" w:hAnsi="Arial" w:cs="Arial"/>
        </w:rPr>
        <w:t>must</w:t>
      </w:r>
      <w:r w:rsidRPr="00C61356">
        <w:rPr>
          <w:rFonts w:ascii="Arial" w:hAnsi="Arial" w:cs="Arial"/>
        </w:rPr>
        <w:t xml:space="preserve"> verify </w:t>
      </w:r>
      <w:r w:rsidR="00914123" w:rsidRPr="00C61356">
        <w:rPr>
          <w:rFonts w:ascii="Arial" w:hAnsi="Arial" w:cs="Arial"/>
        </w:rPr>
        <w:t xml:space="preserve">when a permanent employee exercises their right to return to classified service from an exempt appointment. </w:t>
      </w:r>
      <w:r w:rsidRPr="00C61356">
        <w:rPr>
          <w:rFonts w:ascii="Arial" w:hAnsi="Arial" w:cs="Arial"/>
        </w:rPr>
        <w:t xml:space="preserve">For purposes of these rules, “written notice” includes notice sent by email to the employee’s work email address; and “pendency of an investigation” lasts until the employer has </w:t>
      </w:r>
      <w:r w:rsidR="00112692" w:rsidRPr="00C61356">
        <w:rPr>
          <w:rFonts w:ascii="Arial" w:hAnsi="Arial" w:cs="Arial"/>
        </w:rPr>
        <w:t>taken final appropriate action based on the finding of the investigation.</w:t>
      </w:r>
    </w:p>
    <w:p w14:paraId="272FE50E" w14:textId="3428295F" w:rsidR="00423517" w:rsidRPr="00C61356" w:rsidRDefault="00870E8F" w:rsidP="00423517">
      <w:pPr>
        <w:spacing w:after="0"/>
        <w:rPr>
          <w:rFonts w:ascii="Arial" w:hAnsi="Arial" w:cs="Arial"/>
        </w:rPr>
      </w:pPr>
      <w:r>
        <w:rPr>
          <w:rFonts w:ascii="Arial" w:hAnsi="Arial" w:cs="Arial"/>
        </w:rPr>
        <w:t xml:space="preserve">We are planning to propose permanent adoption at the November 14, 2023, Director’s meeting. </w:t>
      </w:r>
      <w:r w:rsidR="00794571" w:rsidRPr="00C61356">
        <w:rPr>
          <w:rFonts w:ascii="Arial" w:hAnsi="Arial" w:cs="Arial"/>
        </w:rPr>
        <w:t>Lead: Brittany Trujillo</w:t>
      </w:r>
    </w:p>
    <w:p w14:paraId="5128A6AE" w14:textId="77777777" w:rsidR="00423517" w:rsidRPr="00FA5945" w:rsidRDefault="00423517" w:rsidP="00423517">
      <w:pPr>
        <w:spacing w:after="0"/>
        <w:rPr>
          <w:rFonts w:ascii="Arial" w:hAnsi="Arial" w:cs="Arial"/>
          <w:sz w:val="20"/>
          <w:szCs w:val="20"/>
        </w:rPr>
      </w:pPr>
    </w:p>
    <w:p w14:paraId="621EEAB9" w14:textId="64B74FDD" w:rsidR="00FA5945" w:rsidRPr="00FA5945" w:rsidRDefault="00FA5945" w:rsidP="00FA5945">
      <w:pPr>
        <w:spacing w:after="0" w:line="240" w:lineRule="auto"/>
        <w:rPr>
          <w:rFonts w:ascii="Arial" w:eastAsia="Times New Roman" w:hAnsi="Arial" w:cs="Arial"/>
        </w:rPr>
      </w:pPr>
      <w:bookmarkStart w:id="31" w:name="_Hlk145944925"/>
      <w:r w:rsidRPr="00FA5945">
        <w:rPr>
          <w:rFonts w:ascii="Arial" w:eastAsia="Times New Roman" w:hAnsi="Arial" w:cs="Arial"/>
          <w:u w:val="single"/>
        </w:rPr>
        <w:t>AMENDATORY SECTION</w:t>
      </w:r>
      <w:r w:rsidRPr="00FA5945">
        <w:rPr>
          <w:rFonts w:ascii="Arial" w:eastAsia="Times New Roman" w:hAnsi="Arial" w:cs="Arial"/>
        </w:rPr>
        <w:t> </w:t>
      </w:r>
    </w:p>
    <w:p w14:paraId="7482BE0D" w14:textId="3A002204" w:rsidR="00FA5945" w:rsidRPr="00FA5945" w:rsidRDefault="00FA5945" w:rsidP="006049B8">
      <w:pPr>
        <w:pStyle w:val="Heading3"/>
      </w:pPr>
      <w:r w:rsidRPr="00FA5945">
        <w:t>WAC 357-04-</w:t>
      </w:r>
      <w:proofErr w:type="gramStart"/>
      <w:r w:rsidRPr="00FA5945">
        <w:t>030  What</w:t>
      </w:r>
      <w:proofErr w:type="gramEnd"/>
      <w:r w:rsidRPr="00FA5945">
        <w:t xml:space="preserve"> right does an employee have to return to the classified service from exempt service?  </w:t>
      </w:r>
    </w:p>
    <w:p w14:paraId="56C1E96A" w14:textId="77777777" w:rsidR="00FA5945" w:rsidRPr="00FA5945" w:rsidRDefault="00FA5945" w:rsidP="00FA5945">
      <w:pPr>
        <w:spacing w:after="0" w:line="240" w:lineRule="auto"/>
        <w:rPr>
          <w:rFonts w:ascii="Arial" w:eastAsia="Times New Roman" w:hAnsi="Arial" w:cs="Arial"/>
        </w:rPr>
      </w:pPr>
      <w:r w:rsidRPr="00FA5945">
        <w:rPr>
          <w:rFonts w:ascii="Arial" w:eastAsia="Times New Roman" w:hAnsi="Arial" w:cs="Arial"/>
        </w:rPr>
        <w:t>As required by RCW 41.06.070, any employee having permanent status in a classified position who accepts an appointment in an exempt position has the right to return to classified service in accordance with WAC 357-19-195, 357-19-200, and 357-19-205. ((</w:t>
      </w:r>
      <w:r w:rsidRPr="00FA5945">
        <w:rPr>
          <w:rFonts w:ascii="Arial" w:eastAsia="Times New Roman" w:hAnsi="Arial" w:cs="Arial"/>
          <w:strike/>
        </w:rPr>
        <w:t>As long as the employee was not terminated from the exempt position for gross misconduct or malfeasance,</w:t>
      </w:r>
      <w:r w:rsidRPr="00FA5945">
        <w:rPr>
          <w:rFonts w:ascii="Arial" w:eastAsia="Times New Roman" w:hAnsi="Arial" w:cs="Arial"/>
        </w:rPr>
        <w:t xml:space="preserve">)) </w:t>
      </w:r>
      <w:r w:rsidRPr="00FA5945">
        <w:rPr>
          <w:rFonts w:ascii="Arial" w:eastAsia="Times New Roman" w:hAnsi="Arial" w:cs="Arial"/>
          <w:u w:val="single"/>
        </w:rPr>
        <w:t>T</w:t>
      </w:r>
      <w:r w:rsidRPr="00FA5945">
        <w:rPr>
          <w:rFonts w:ascii="Arial" w:eastAsia="Times New Roman" w:hAnsi="Arial" w:cs="Arial"/>
        </w:rPr>
        <w:t xml:space="preserve">he employee has the right to return to the highest class of position in which the employee previously held permanent status or to a position of similar nature and salary. </w:t>
      </w:r>
      <w:r w:rsidRPr="00FA5945">
        <w:rPr>
          <w:rFonts w:ascii="Arial" w:eastAsia="Times New Roman" w:hAnsi="Arial" w:cs="Arial"/>
          <w:u w:val="single"/>
        </w:rPr>
        <w:t>The right of return may not be exercised if the employee is terminated from the exempt position for gross misconduct or malfeasance, or during the pendency of an investigation if the employee has been given written notice that they are the subject of an active workplace investigation which may result in a finding of gross misconduct or malfeasance.</w:t>
      </w:r>
    </w:p>
    <w:p w14:paraId="6824688A"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u w:val="single"/>
        </w:rPr>
        <w:t>For purposes of this section:</w:t>
      </w:r>
    </w:p>
    <w:p w14:paraId="57CB5896"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u w:val="single"/>
        </w:rPr>
        <w:t>(1) "Written notice" includes notice sent by email to the employee's work email address; and</w:t>
      </w:r>
    </w:p>
    <w:p w14:paraId="2F126642"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u w:val="single"/>
        </w:rPr>
        <w:lastRenderedPageBreak/>
        <w:t>(2) "Pendency of an investigation" lasts until the employer has taken final appropriate action based on the finding of the investigation.</w:t>
      </w:r>
    </w:p>
    <w:p w14:paraId="6FE9BDCD" w14:textId="77777777" w:rsidR="00FA5945" w:rsidRPr="00FA5945" w:rsidRDefault="00FA5945" w:rsidP="00FA5945">
      <w:pPr>
        <w:spacing w:after="0" w:line="240" w:lineRule="auto"/>
        <w:rPr>
          <w:rFonts w:ascii="Arial" w:eastAsia="Times New Roman" w:hAnsi="Arial" w:cs="Arial"/>
        </w:rPr>
      </w:pPr>
    </w:p>
    <w:p w14:paraId="685E877E" w14:textId="67666A7D" w:rsidR="00FA5945" w:rsidRPr="00FA5945" w:rsidRDefault="00FA5945" w:rsidP="00FA5945">
      <w:pPr>
        <w:spacing w:after="0" w:line="240" w:lineRule="auto"/>
        <w:rPr>
          <w:rFonts w:ascii="Arial" w:eastAsia="Times New Roman" w:hAnsi="Arial" w:cs="Arial"/>
        </w:rPr>
      </w:pPr>
      <w:r w:rsidRPr="00FA5945">
        <w:rPr>
          <w:rFonts w:ascii="Arial" w:eastAsia="Times New Roman" w:hAnsi="Arial" w:cs="Arial"/>
          <w:u w:val="single"/>
        </w:rPr>
        <w:t>AMENDATORY SECTION</w:t>
      </w:r>
      <w:r w:rsidRPr="00FA5945">
        <w:rPr>
          <w:rFonts w:ascii="Arial" w:eastAsia="Times New Roman" w:hAnsi="Arial" w:cs="Arial"/>
        </w:rPr>
        <w:t> </w:t>
      </w:r>
    </w:p>
    <w:p w14:paraId="20A0C317" w14:textId="188D6F8F" w:rsidR="00FA5945" w:rsidRPr="00FA5945" w:rsidRDefault="00FA5945" w:rsidP="006049B8">
      <w:pPr>
        <w:pStyle w:val="Heading3"/>
      </w:pPr>
      <w:r w:rsidRPr="00FA5945">
        <w:t>WAC 357-19-</w:t>
      </w:r>
      <w:proofErr w:type="gramStart"/>
      <w:r w:rsidRPr="00FA5945">
        <w:t>195  If</w:t>
      </w:r>
      <w:proofErr w:type="gramEnd"/>
      <w:r w:rsidRPr="00FA5945">
        <w:t xml:space="preserve"> a permanent employee in a classified position accepts an appointment to an exempt position, what is the employee's right to return to a position in the classified service?  </w:t>
      </w:r>
    </w:p>
    <w:p w14:paraId="5268FC15" w14:textId="77777777" w:rsidR="00FA5945" w:rsidRPr="00FA5945" w:rsidRDefault="00FA5945" w:rsidP="00FA5945">
      <w:pPr>
        <w:spacing w:after="0" w:line="240" w:lineRule="auto"/>
        <w:rPr>
          <w:rFonts w:ascii="Arial" w:eastAsia="Times New Roman" w:hAnsi="Arial" w:cs="Arial"/>
        </w:rPr>
      </w:pPr>
      <w:r w:rsidRPr="00FA5945">
        <w:rPr>
          <w:rFonts w:ascii="Arial" w:eastAsia="Times New Roman" w:hAnsi="Arial" w:cs="Arial"/>
        </w:rPr>
        <w:t>A permanent employee who accepts an appointment to an exempt position has the right to return to classified service at any time ((</w:t>
      </w:r>
      <w:proofErr w:type="gramStart"/>
      <w:r w:rsidRPr="00FA5945">
        <w:rPr>
          <w:rFonts w:ascii="Arial" w:eastAsia="Times New Roman" w:hAnsi="Arial" w:cs="Arial"/>
          <w:strike/>
        </w:rPr>
        <w:t>as long as</w:t>
      </w:r>
      <w:proofErr w:type="gramEnd"/>
      <w:r w:rsidRPr="00FA5945">
        <w:rPr>
          <w:rFonts w:ascii="Arial" w:eastAsia="Times New Roman" w:hAnsi="Arial" w:cs="Arial"/>
          <w:strike/>
        </w:rPr>
        <w:t xml:space="preserve"> the employee was not</w:t>
      </w:r>
      <w:r w:rsidRPr="00FA5945">
        <w:rPr>
          <w:rFonts w:ascii="Arial" w:eastAsia="Times New Roman" w:hAnsi="Arial" w:cs="Arial"/>
        </w:rPr>
        <w:t>))</w:t>
      </w:r>
      <w:r w:rsidRPr="00FA5945">
        <w:rPr>
          <w:rFonts w:ascii="Arial" w:eastAsia="Times New Roman" w:hAnsi="Arial" w:cs="Arial"/>
          <w:u w:val="single"/>
        </w:rPr>
        <w:t>. However, the right of return may not be exercised if the employee is</w:t>
      </w:r>
      <w:r w:rsidRPr="00FA5945">
        <w:rPr>
          <w:rFonts w:ascii="Arial" w:eastAsia="Times New Roman" w:hAnsi="Arial" w:cs="Arial"/>
        </w:rPr>
        <w:t xml:space="preserve"> terminated from an exempt position for gross misconduct or malfeasance</w:t>
      </w:r>
      <w:r w:rsidRPr="00FA5945">
        <w:rPr>
          <w:rFonts w:ascii="Arial" w:eastAsia="Times New Roman" w:hAnsi="Arial" w:cs="Arial"/>
          <w:u w:val="single"/>
        </w:rPr>
        <w:t>, or during the pendency of an investigation if the employee has been given written notice that they are the subject of an active workplace investigation which may result in a finding of gross misconduct or malfeasance</w:t>
      </w:r>
      <w:r w:rsidRPr="00FA5945">
        <w:rPr>
          <w:rFonts w:ascii="Arial" w:eastAsia="Times New Roman" w:hAnsi="Arial" w:cs="Arial"/>
        </w:rPr>
        <w:t>.</w:t>
      </w:r>
    </w:p>
    <w:p w14:paraId="209B8A59"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rPr>
        <w:t>The employee's right is to a position in the highest class in which the employee previously held permanent status or to a position of similar nature and salary. The return right is to the most recent employer with which permanent status in the highest class was held. A position in the highest class does not necessarily mean return to the most recent employer.</w:t>
      </w:r>
    </w:p>
    <w:p w14:paraId="0A172E36"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rPr>
        <w:t>If upon an employee being returned to a classified position there are fewer positions than there are employees entitled to such positions, the employer's layoff procedure applies.</w:t>
      </w:r>
    </w:p>
    <w:p w14:paraId="365471BC"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u w:val="single"/>
        </w:rPr>
        <w:t>For purposes of this section:</w:t>
      </w:r>
    </w:p>
    <w:p w14:paraId="609C01E7"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u w:val="single"/>
        </w:rPr>
        <w:t>(1) "Written notice" includes notice sent by email to the employee's work email address; and</w:t>
      </w:r>
    </w:p>
    <w:p w14:paraId="5C01D521"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u w:val="single"/>
        </w:rPr>
        <w:t>(2) "Pendency of an investigation" lasts until the employer has taken final appropriate action based on the finding of the investigation.</w:t>
      </w:r>
    </w:p>
    <w:p w14:paraId="4D5A4780" w14:textId="77777777" w:rsidR="00FA5945" w:rsidRPr="00FA5945" w:rsidRDefault="00FA5945" w:rsidP="00FA5945">
      <w:pPr>
        <w:spacing w:after="0" w:line="240" w:lineRule="auto"/>
        <w:rPr>
          <w:rFonts w:ascii="Arial" w:eastAsia="Times New Roman" w:hAnsi="Arial" w:cs="Arial"/>
        </w:rPr>
      </w:pPr>
    </w:p>
    <w:p w14:paraId="14D18468" w14:textId="1530F070" w:rsidR="00FA5945" w:rsidRPr="00FA5945" w:rsidRDefault="00FA5945" w:rsidP="00FA5945">
      <w:pPr>
        <w:spacing w:after="0" w:line="240" w:lineRule="auto"/>
        <w:rPr>
          <w:rFonts w:ascii="Arial" w:eastAsia="Times New Roman" w:hAnsi="Arial" w:cs="Arial"/>
        </w:rPr>
      </w:pPr>
      <w:r w:rsidRPr="00FA5945">
        <w:rPr>
          <w:rFonts w:ascii="Arial" w:eastAsia="Times New Roman" w:hAnsi="Arial" w:cs="Arial"/>
          <w:u w:val="single"/>
        </w:rPr>
        <w:t>NEW SECTION</w:t>
      </w:r>
    </w:p>
    <w:p w14:paraId="2B27B324" w14:textId="555B302F" w:rsidR="00FA5945" w:rsidRPr="00FA5945" w:rsidRDefault="00FA5945" w:rsidP="006049B8">
      <w:pPr>
        <w:pStyle w:val="Heading3"/>
      </w:pPr>
      <w:r w:rsidRPr="00FA5945">
        <w:t xml:space="preserve">WAC 357-19-197  What information must a receiving employer verify when a permanent employee exercises their right to return to classified service from an exempt appointment?  </w:t>
      </w:r>
    </w:p>
    <w:p w14:paraId="2D102FF7" w14:textId="77777777" w:rsidR="00FA5945" w:rsidRPr="00FA5945" w:rsidRDefault="00FA5945" w:rsidP="00FA5945">
      <w:pPr>
        <w:spacing w:after="0" w:line="240" w:lineRule="auto"/>
        <w:rPr>
          <w:rFonts w:ascii="Arial" w:eastAsia="Times New Roman" w:hAnsi="Arial" w:cs="Arial"/>
        </w:rPr>
      </w:pPr>
      <w:r w:rsidRPr="00FA5945">
        <w:rPr>
          <w:rFonts w:ascii="Arial" w:eastAsia="Times New Roman" w:hAnsi="Arial" w:cs="Arial"/>
        </w:rPr>
        <w:t>(1) When a permanent employee exercises their right to return to classified service from an exempt appointment in accordance with RCW 41.06.070, the receiving employer must verify:</w:t>
      </w:r>
    </w:p>
    <w:p w14:paraId="610CDFEF"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rPr>
        <w:t>(a) The employee is not the subject of an active pending workplace investigation of which the employee was given written notice, and which may result in a finding of gross misconduct or malfeasance or was not terminated from the exempt position for gross misconduct or malfeasance; and</w:t>
      </w:r>
    </w:p>
    <w:p w14:paraId="45F7BF6C"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rPr>
        <w:t>(b) The employee was not terminated from the exempt position for gross misconduct or malfeasance.</w:t>
      </w:r>
    </w:p>
    <w:p w14:paraId="4C7765C7"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rPr>
        <w:t>(2) For purposes of this section:</w:t>
      </w:r>
    </w:p>
    <w:p w14:paraId="1B887171"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rPr>
        <w:t>(a) "Written notice" includes notice sent by email to the employee's work email address; and</w:t>
      </w:r>
    </w:p>
    <w:p w14:paraId="5C74AFFA"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rPr>
        <w:t>(b) "Pendency of an investigation" lasts until the employer has taken final appropriate action based on the finding of the investigation.</w:t>
      </w:r>
    </w:p>
    <w:p w14:paraId="038FDEF1" w14:textId="77777777" w:rsidR="00FA5945" w:rsidRPr="00FA5945" w:rsidRDefault="00FA5945" w:rsidP="00FA5945">
      <w:pPr>
        <w:spacing w:after="0" w:line="240" w:lineRule="auto"/>
        <w:rPr>
          <w:rFonts w:ascii="Arial" w:eastAsia="Times New Roman" w:hAnsi="Arial" w:cs="Arial"/>
          <w:u w:val="single"/>
        </w:rPr>
      </w:pPr>
    </w:p>
    <w:p w14:paraId="61A50274" w14:textId="6076A91C" w:rsidR="00FA5945" w:rsidRPr="00FA5945" w:rsidRDefault="00FA5945" w:rsidP="00FA5945">
      <w:pPr>
        <w:spacing w:after="0" w:line="240" w:lineRule="auto"/>
        <w:rPr>
          <w:rFonts w:ascii="Arial" w:eastAsia="Times New Roman" w:hAnsi="Arial" w:cs="Arial"/>
        </w:rPr>
      </w:pPr>
      <w:r w:rsidRPr="00FA5945">
        <w:rPr>
          <w:rFonts w:ascii="Arial" w:eastAsia="Times New Roman" w:hAnsi="Arial" w:cs="Arial"/>
          <w:u w:val="single"/>
        </w:rPr>
        <w:t>AMENDATORY SECTION</w:t>
      </w:r>
      <w:r w:rsidRPr="00FA5945">
        <w:rPr>
          <w:rFonts w:ascii="Arial" w:eastAsia="Times New Roman" w:hAnsi="Arial" w:cs="Arial"/>
        </w:rPr>
        <w:t> </w:t>
      </w:r>
    </w:p>
    <w:p w14:paraId="6D712A6C" w14:textId="4728BD90" w:rsidR="00FA5945" w:rsidRPr="00FA5945" w:rsidRDefault="00FA5945" w:rsidP="006049B8">
      <w:pPr>
        <w:pStyle w:val="Heading3"/>
      </w:pPr>
      <w:r w:rsidRPr="00FA5945">
        <w:lastRenderedPageBreak/>
        <w:t xml:space="preserve">WAC 357-19-200  When must an employee apply to return to classified service from exempt service?  </w:t>
      </w:r>
    </w:p>
    <w:p w14:paraId="29755D5C" w14:textId="77777777" w:rsidR="00FA5945" w:rsidRPr="00FA5945" w:rsidRDefault="00FA5945" w:rsidP="00FA5945">
      <w:pPr>
        <w:spacing w:after="0" w:line="240" w:lineRule="auto"/>
        <w:rPr>
          <w:rFonts w:ascii="Arial" w:eastAsia="Times New Roman" w:hAnsi="Arial" w:cs="Arial"/>
        </w:rPr>
      </w:pPr>
      <w:r w:rsidRPr="00FA5945">
        <w:rPr>
          <w:rFonts w:ascii="Arial" w:eastAsia="Times New Roman" w:hAnsi="Arial" w:cs="Arial"/>
        </w:rPr>
        <w:t>Employees exercising return rights should provide as much advance notice as is practicable to the receiving employer. The employee must apply to return to classified service within ((</w:t>
      </w:r>
      <w:r w:rsidRPr="00FA5945">
        <w:rPr>
          <w:rFonts w:ascii="Arial" w:eastAsia="Times New Roman" w:hAnsi="Arial" w:cs="Arial"/>
          <w:strike/>
        </w:rPr>
        <w:t>thirty</w:t>
      </w:r>
      <w:r w:rsidRPr="00FA5945">
        <w:rPr>
          <w:rFonts w:ascii="Arial" w:eastAsia="Times New Roman" w:hAnsi="Arial" w:cs="Arial"/>
        </w:rPr>
        <w:t xml:space="preserve">)) </w:t>
      </w:r>
      <w:r w:rsidRPr="00FA5945">
        <w:rPr>
          <w:rFonts w:ascii="Arial" w:eastAsia="Times New Roman" w:hAnsi="Arial" w:cs="Arial"/>
          <w:u w:val="single"/>
        </w:rPr>
        <w:t>30</w:t>
      </w:r>
      <w:r w:rsidRPr="00FA5945">
        <w:rPr>
          <w:rFonts w:ascii="Arial" w:eastAsia="Times New Roman" w:hAnsi="Arial" w:cs="Arial"/>
        </w:rPr>
        <w:t xml:space="preserve"> calendar days of:</w:t>
      </w:r>
    </w:p>
    <w:p w14:paraId="168B4A19" w14:textId="77777777" w:rsidR="00FA5945" w:rsidRPr="00FA5945" w:rsidRDefault="00FA5945" w:rsidP="00FA5945">
      <w:pPr>
        <w:spacing w:after="0" w:line="240" w:lineRule="auto"/>
        <w:rPr>
          <w:rFonts w:ascii="Arial" w:eastAsia="Times New Roman" w:hAnsi="Arial" w:cs="Arial"/>
        </w:rPr>
      </w:pPr>
    </w:p>
    <w:tbl>
      <w:tblPr>
        <w:tblW w:w="0" w:type="auto"/>
        <w:jc w:val="center"/>
        <w:tblCellMar>
          <w:left w:w="0" w:type="dxa"/>
          <w:right w:w="0" w:type="dxa"/>
        </w:tblCellMar>
        <w:tblLook w:val="0000" w:firstRow="0" w:lastRow="0" w:firstColumn="0" w:lastColumn="0" w:noHBand="0" w:noVBand="0"/>
      </w:tblPr>
      <w:tblGrid>
        <w:gridCol w:w="720"/>
        <w:gridCol w:w="8640"/>
      </w:tblGrid>
      <w:tr w:rsidR="00FA5945" w:rsidRPr="00FA5945" w14:paraId="32C4D486" w14:textId="77777777" w:rsidTr="004355F4">
        <w:trPr>
          <w:jc w:val="center"/>
        </w:trPr>
        <w:tc>
          <w:tcPr>
            <w:tcW w:w="720" w:type="dxa"/>
            <w:tcMar>
              <w:top w:w="40" w:type="dxa"/>
              <w:left w:w="0" w:type="dxa"/>
              <w:bottom w:w="40" w:type="dxa"/>
              <w:right w:w="0" w:type="dxa"/>
            </w:tcMar>
          </w:tcPr>
          <w:p w14:paraId="78A652FB" w14:textId="77777777" w:rsidR="00FA5945" w:rsidRPr="00FA5945" w:rsidRDefault="00FA5945" w:rsidP="00FA5945">
            <w:pPr>
              <w:spacing w:after="0" w:line="240" w:lineRule="auto"/>
              <w:jc w:val="center"/>
              <w:rPr>
                <w:rFonts w:ascii="Arial" w:eastAsia="Times New Roman" w:hAnsi="Arial" w:cs="Arial"/>
              </w:rPr>
            </w:pPr>
            <w:r w:rsidRPr="00FA5945">
              <w:rPr>
                <w:rFonts w:ascii="Arial" w:eastAsia="Times New Roman" w:hAnsi="Arial" w:cs="Arial"/>
              </w:rPr>
              <w:t>•</w:t>
            </w:r>
          </w:p>
        </w:tc>
        <w:tc>
          <w:tcPr>
            <w:tcW w:w="8640" w:type="dxa"/>
            <w:tcMar>
              <w:top w:w="40" w:type="dxa"/>
              <w:left w:w="0" w:type="dxa"/>
              <w:bottom w:w="40" w:type="dxa"/>
              <w:right w:w="0" w:type="dxa"/>
            </w:tcMar>
          </w:tcPr>
          <w:p w14:paraId="1FCA6657" w14:textId="77777777" w:rsidR="00FA5945" w:rsidRPr="00FA5945" w:rsidRDefault="00FA5945" w:rsidP="00FA5945">
            <w:pPr>
              <w:spacing w:after="0" w:line="240" w:lineRule="auto"/>
              <w:rPr>
                <w:rFonts w:ascii="Arial" w:eastAsia="Times New Roman" w:hAnsi="Arial" w:cs="Arial"/>
              </w:rPr>
            </w:pPr>
            <w:r w:rsidRPr="00FA5945">
              <w:rPr>
                <w:rFonts w:ascii="Arial" w:eastAsia="Times New Roman" w:hAnsi="Arial" w:cs="Arial"/>
              </w:rPr>
              <w:t>Separation from employment in the exempt position, or</w:t>
            </w:r>
          </w:p>
        </w:tc>
      </w:tr>
      <w:tr w:rsidR="00FA5945" w:rsidRPr="00FA5945" w14:paraId="108C1490" w14:textId="77777777" w:rsidTr="004355F4">
        <w:trPr>
          <w:jc w:val="center"/>
        </w:trPr>
        <w:tc>
          <w:tcPr>
            <w:tcW w:w="720" w:type="dxa"/>
            <w:tcMar>
              <w:top w:w="40" w:type="dxa"/>
              <w:left w:w="0" w:type="dxa"/>
              <w:bottom w:w="40" w:type="dxa"/>
              <w:right w:w="0" w:type="dxa"/>
            </w:tcMar>
          </w:tcPr>
          <w:p w14:paraId="4419E601" w14:textId="77777777" w:rsidR="00FA5945" w:rsidRPr="00FA5945" w:rsidRDefault="00FA5945" w:rsidP="00FA5945">
            <w:pPr>
              <w:spacing w:after="0" w:line="240" w:lineRule="auto"/>
              <w:jc w:val="center"/>
              <w:rPr>
                <w:rFonts w:ascii="Arial" w:eastAsia="Times New Roman" w:hAnsi="Arial" w:cs="Arial"/>
              </w:rPr>
            </w:pPr>
            <w:r w:rsidRPr="00FA5945">
              <w:rPr>
                <w:rFonts w:ascii="Arial" w:eastAsia="Times New Roman" w:hAnsi="Arial" w:cs="Arial"/>
              </w:rPr>
              <w:t>•</w:t>
            </w:r>
          </w:p>
        </w:tc>
        <w:tc>
          <w:tcPr>
            <w:tcW w:w="8640" w:type="dxa"/>
            <w:tcMar>
              <w:top w:w="40" w:type="dxa"/>
              <w:left w:w="0" w:type="dxa"/>
              <w:bottom w:w="40" w:type="dxa"/>
              <w:right w:w="0" w:type="dxa"/>
            </w:tcMar>
          </w:tcPr>
          <w:p w14:paraId="30999F96" w14:textId="77777777" w:rsidR="00FA5945" w:rsidRPr="00FA5945" w:rsidRDefault="00FA5945" w:rsidP="00FA5945">
            <w:pPr>
              <w:spacing w:after="0" w:line="240" w:lineRule="auto"/>
              <w:rPr>
                <w:rFonts w:ascii="Arial" w:eastAsia="Times New Roman" w:hAnsi="Arial" w:cs="Arial"/>
              </w:rPr>
            </w:pPr>
            <w:r w:rsidRPr="00FA5945">
              <w:rPr>
                <w:rFonts w:ascii="Arial" w:eastAsia="Times New Roman" w:hAnsi="Arial" w:cs="Arial"/>
              </w:rPr>
              <w:t>Separation from employment in any subsequent exempt position if there is no break in state service of more than ((</w:t>
            </w:r>
            <w:r w:rsidRPr="00FA5945">
              <w:rPr>
                <w:rFonts w:ascii="Arial" w:eastAsia="Times New Roman" w:hAnsi="Arial" w:cs="Arial"/>
                <w:strike/>
              </w:rPr>
              <w:t>thirty</w:t>
            </w:r>
            <w:r w:rsidRPr="00FA5945">
              <w:rPr>
                <w:rFonts w:ascii="Arial" w:eastAsia="Times New Roman" w:hAnsi="Arial" w:cs="Arial"/>
              </w:rPr>
              <w:t xml:space="preserve">)) </w:t>
            </w:r>
            <w:r w:rsidRPr="00FA5945">
              <w:rPr>
                <w:rFonts w:ascii="Arial" w:eastAsia="Times New Roman" w:hAnsi="Arial" w:cs="Arial"/>
                <w:u w:val="single"/>
              </w:rPr>
              <w:t>30</w:t>
            </w:r>
            <w:r w:rsidRPr="00FA5945">
              <w:rPr>
                <w:rFonts w:ascii="Arial" w:eastAsia="Times New Roman" w:hAnsi="Arial" w:cs="Arial"/>
              </w:rPr>
              <w:t xml:space="preserve"> calendar days between initial and subsequent exempt appointments.</w:t>
            </w:r>
          </w:p>
        </w:tc>
      </w:tr>
    </w:tbl>
    <w:p w14:paraId="68FD8E55"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rPr>
        <w:t>Employees who apply for return to classified service within ((</w:t>
      </w:r>
      <w:r w:rsidRPr="00FA5945">
        <w:rPr>
          <w:rFonts w:ascii="Arial" w:eastAsia="Times New Roman" w:hAnsi="Arial" w:cs="Arial"/>
          <w:strike/>
        </w:rPr>
        <w:t>thirty</w:t>
      </w:r>
      <w:r w:rsidRPr="00FA5945">
        <w:rPr>
          <w:rFonts w:ascii="Arial" w:eastAsia="Times New Roman" w:hAnsi="Arial" w:cs="Arial"/>
        </w:rPr>
        <w:t xml:space="preserve">)) </w:t>
      </w:r>
      <w:r w:rsidRPr="00FA5945">
        <w:rPr>
          <w:rFonts w:ascii="Arial" w:eastAsia="Times New Roman" w:hAnsi="Arial" w:cs="Arial"/>
          <w:u w:val="single"/>
        </w:rPr>
        <w:t>30</w:t>
      </w:r>
      <w:r w:rsidRPr="00FA5945">
        <w:rPr>
          <w:rFonts w:ascii="Arial" w:eastAsia="Times New Roman" w:hAnsi="Arial" w:cs="Arial"/>
        </w:rPr>
        <w:t xml:space="preserve"> calendar days must be returned to a position at the time of separation from the exempt appointment or the time of application, whichever is later.</w:t>
      </w:r>
    </w:p>
    <w:p w14:paraId="624A51A8"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u w:val="single"/>
        </w:rPr>
        <w:t>The right of return may not be exercised if the employee is terminated from the exempt position for gross misconduct or malfeasance, or during the pendency of an investigation if the employee has been given written notice that they are the subject of an active workplace investigation which may result in a finding of gross misconduct or malfeasance.</w:t>
      </w:r>
    </w:p>
    <w:p w14:paraId="582B80C2"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u w:val="single"/>
        </w:rPr>
        <w:t>For purposes of this section:</w:t>
      </w:r>
    </w:p>
    <w:p w14:paraId="17F76D71" w14:textId="77777777"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u w:val="single"/>
        </w:rPr>
        <w:t>(1) "Written notice" includes notice sent by email to the employee's work email address; and</w:t>
      </w:r>
    </w:p>
    <w:p w14:paraId="4A85B83E" w14:textId="7C862E34" w:rsidR="00FA5945" w:rsidRPr="00FA5945" w:rsidRDefault="00FA5945" w:rsidP="00FA5945">
      <w:pPr>
        <w:spacing w:after="0" w:line="240" w:lineRule="auto"/>
        <w:ind w:firstLine="720"/>
        <w:rPr>
          <w:rFonts w:ascii="Arial" w:eastAsia="Times New Roman" w:hAnsi="Arial" w:cs="Arial"/>
        </w:rPr>
      </w:pPr>
      <w:r w:rsidRPr="00FA5945">
        <w:rPr>
          <w:rFonts w:ascii="Arial" w:eastAsia="Times New Roman" w:hAnsi="Arial" w:cs="Arial"/>
          <w:u w:val="single"/>
        </w:rPr>
        <w:t>(2) "Pendency of an investigation" lasts until the employer has taken final appropriate action based on the finding of the investigation.</w:t>
      </w:r>
    </w:p>
    <w:p w14:paraId="7A2D3AC3" w14:textId="1B0EF843" w:rsidR="00914123" w:rsidRPr="00F66F77" w:rsidRDefault="00914123" w:rsidP="00184866">
      <w:pPr>
        <w:pStyle w:val="Heading1"/>
        <w:rPr>
          <w:u w:val="single"/>
        </w:rPr>
      </w:pPr>
      <w:r w:rsidRPr="00F66F77">
        <w:rPr>
          <w:u w:val="single"/>
        </w:rPr>
        <w:t>Item #</w:t>
      </w:r>
      <w:r w:rsidR="004668B3">
        <w:rPr>
          <w:u w:val="single"/>
        </w:rPr>
        <w:t>6</w:t>
      </w:r>
      <w:r w:rsidRPr="00F66F77">
        <w:rPr>
          <w:u w:val="single"/>
        </w:rPr>
        <w:t xml:space="preserve"> – Sick Leave Restoration </w:t>
      </w:r>
    </w:p>
    <w:bookmarkEnd w:id="31"/>
    <w:p w14:paraId="4173A7A6" w14:textId="77777777" w:rsidR="00555FED" w:rsidRPr="00C61356" w:rsidRDefault="00555FED" w:rsidP="00555FED">
      <w:pPr>
        <w:spacing w:after="0" w:line="240" w:lineRule="auto"/>
        <w:rPr>
          <w:rFonts w:ascii="Arial" w:hAnsi="Arial" w:cs="Arial"/>
          <w:b/>
          <w:u w:val="single"/>
        </w:rPr>
      </w:pPr>
    </w:p>
    <w:p w14:paraId="6F7959C0" w14:textId="0CF16276" w:rsidR="00555FED" w:rsidRPr="00F15D7E" w:rsidRDefault="00555FED" w:rsidP="00555FED">
      <w:pPr>
        <w:rPr>
          <w:rFonts w:ascii="Arial" w:hAnsi="Arial" w:cs="Arial"/>
        </w:rPr>
      </w:pPr>
      <w:r w:rsidRPr="00C61356">
        <w:rPr>
          <w:rFonts w:ascii="Arial" w:hAnsi="Arial" w:cs="Arial"/>
          <w:b/>
          <w:u w:val="single"/>
        </w:rPr>
        <w:t>Staff note:</w:t>
      </w:r>
      <w:r w:rsidRPr="00C61356">
        <w:rPr>
          <w:rFonts w:ascii="Arial" w:hAnsi="Arial" w:cs="Arial"/>
        </w:rPr>
        <w:t xml:space="preserve">  </w:t>
      </w:r>
      <w:hyperlink r:id="rId105" w:history="1">
        <w:r w:rsidRPr="00C61356">
          <w:rPr>
            <w:rFonts w:ascii="Arial" w:hAnsi="Arial" w:cs="Arial"/>
          </w:rPr>
          <w:t>WAC 357-31-160</w:t>
        </w:r>
      </w:hyperlink>
      <w:r w:rsidRPr="00C61356">
        <w:rPr>
          <w:rFonts w:ascii="Arial" w:hAnsi="Arial" w:cs="Arial"/>
        </w:rPr>
        <w:t xml:space="preserve"> addresses when sick leave is restored when a former employee is reemployed. Former employees who are re-employed within five years of their separation from service must be restored unused sick leave credits, if any, to which they were entitled at the time of separation</w:t>
      </w:r>
      <w:r w:rsidRPr="00F15D7E">
        <w:rPr>
          <w:rFonts w:ascii="Arial" w:hAnsi="Arial" w:cs="Arial"/>
        </w:rPr>
        <w:t>. We are proposing to amend WAC 357-31-160 to</w:t>
      </w:r>
      <w:r w:rsidR="00FB09ED" w:rsidRPr="00F15D7E">
        <w:rPr>
          <w:rFonts w:ascii="Arial" w:hAnsi="Arial" w:cs="Arial"/>
        </w:rPr>
        <w:t xml:space="preserve"> add language to clarify that separation is from state service and to clarify that</w:t>
      </w:r>
      <w:r w:rsidRPr="00F15D7E">
        <w:rPr>
          <w:rFonts w:ascii="Arial" w:hAnsi="Arial" w:cs="Arial"/>
        </w:rPr>
        <w:t xml:space="preserve"> former employees who are re-employed after five years of </w:t>
      </w:r>
      <w:r w:rsidR="00FB09ED" w:rsidRPr="00F15D7E">
        <w:rPr>
          <w:rFonts w:ascii="Arial" w:hAnsi="Arial" w:cs="Arial"/>
        </w:rPr>
        <w:t>being separated from state service</w:t>
      </w:r>
      <w:r w:rsidRPr="00F15D7E">
        <w:rPr>
          <w:rFonts w:ascii="Arial" w:hAnsi="Arial" w:cs="Arial"/>
        </w:rPr>
        <w:t xml:space="preserve"> may be restored unused sick leave credits in accordance with the employer’s leave policy to coincide with a longstanding rule interpretation. </w:t>
      </w:r>
    </w:p>
    <w:p w14:paraId="2E9DEB26" w14:textId="26D0A883" w:rsidR="00555FED" w:rsidRPr="00C61356" w:rsidRDefault="00555FED" w:rsidP="00555FED">
      <w:pPr>
        <w:rPr>
          <w:rFonts w:ascii="Arial" w:hAnsi="Arial" w:cs="Arial"/>
        </w:rPr>
      </w:pPr>
      <w:r w:rsidRPr="00F15D7E">
        <w:rPr>
          <w:rFonts w:ascii="Arial" w:hAnsi="Arial" w:cs="Arial"/>
        </w:rPr>
        <w:t xml:space="preserve">We are also proposing to amend WAC 357-31-100 to add subsection </w:t>
      </w:r>
      <w:r w:rsidR="00532CDD" w:rsidRPr="00F15D7E">
        <w:rPr>
          <w:rFonts w:ascii="Arial" w:hAnsi="Arial" w:cs="Arial"/>
        </w:rPr>
        <w:t>(</w:t>
      </w:r>
      <w:r w:rsidRPr="00F15D7E">
        <w:rPr>
          <w:rFonts w:ascii="Arial" w:hAnsi="Arial" w:cs="Arial"/>
        </w:rPr>
        <w:t>13</w:t>
      </w:r>
      <w:r w:rsidR="00532CDD" w:rsidRPr="00F15D7E">
        <w:rPr>
          <w:rFonts w:ascii="Arial" w:hAnsi="Arial" w:cs="Arial"/>
        </w:rPr>
        <w:t>)</w:t>
      </w:r>
      <w:r w:rsidRPr="00F15D7E">
        <w:rPr>
          <w:rFonts w:ascii="Arial" w:hAnsi="Arial" w:cs="Arial"/>
        </w:rPr>
        <w:t xml:space="preserve"> </w:t>
      </w:r>
      <w:r w:rsidR="00532CDD" w:rsidRPr="00F15D7E">
        <w:rPr>
          <w:rFonts w:ascii="Arial" w:hAnsi="Arial" w:cs="Arial"/>
        </w:rPr>
        <w:t xml:space="preserve">to require </w:t>
      </w:r>
      <w:r w:rsidRPr="00F15D7E">
        <w:rPr>
          <w:rFonts w:ascii="Arial" w:hAnsi="Arial" w:cs="Arial"/>
        </w:rPr>
        <w:t>an employer’s leave policy</w:t>
      </w:r>
      <w:r w:rsidR="00532CDD" w:rsidRPr="00F15D7E">
        <w:rPr>
          <w:rFonts w:ascii="Arial" w:hAnsi="Arial" w:cs="Arial"/>
        </w:rPr>
        <w:t xml:space="preserve"> to</w:t>
      </w:r>
      <w:r w:rsidRPr="00F15D7E">
        <w:rPr>
          <w:rFonts w:ascii="Arial" w:hAnsi="Arial" w:cs="Arial"/>
        </w:rPr>
        <w:t xml:space="preserve"> address whether former employees who are re-employed after five years of separation</w:t>
      </w:r>
      <w:r w:rsidR="00532CDD" w:rsidRPr="00F15D7E">
        <w:rPr>
          <w:rFonts w:ascii="Arial" w:hAnsi="Arial" w:cs="Arial"/>
        </w:rPr>
        <w:t xml:space="preserve"> from state service</w:t>
      </w:r>
      <w:r w:rsidRPr="00F15D7E">
        <w:rPr>
          <w:rFonts w:ascii="Arial" w:hAnsi="Arial" w:cs="Arial"/>
        </w:rPr>
        <w:t xml:space="preserve"> may</w:t>
      </w:r>
      <w:r w:rsidRPr="00C61356">
        <w:rPr>
          <w:rFonts w:ascii="Arial" w:hAnsi="Arial" w:cs="Arial"/>
        </w:rPr>
        <w:t xml:space="preserve"> be restored unused sick leave credits in accordance with WAC 357-31-160.</w:t>
      </w:r>
    </w:p>
    <w:p w14:paraId="3770A892" w14:textId="022F8DB8" w:rsidR="00555FED" w:rsidRDefault="00555FED" w:rsidP="00555FED">
      <w:pPr>
        <w:rPr>
          <w:rFonts w:ascii="Arial" w:hAnsi="Arial" w:cs="Arial"/>
        </w:rPr>
      </w:pPr>
      <w:r w:rsidRPr="00C61356">
        <w:rPr>
          <w:rFonts w:ascii="Arial" w:hAnsi="Arial" w:cs="Arial"/>
          <w:highlight w:val="green"/>
        </w:rPr>
        <w:t>The highlighted green text reflects proposed amendments to WAC 357-31-100 as proposed in rule item #</w:t>
      </w:r>
      <w:r w:rsidR="00D96AE6">
        <w:rPr>
          <w:rFonts w:ascii="Arial" w:hAnsi="Arial" w:cs="Arial"/>
          <w:highlight w:val="green"/>
        </w:rPr>
        <w:t>4</w:t>
      </w:r>
      <w:r w:rsidRPr="00C61356">
        <w:rPr>
          <w:rFonts w:ascii="Arial" w:hAnsi="Arial" w:cs="Arial"/>
          <w:highlight w:val="green"/>
        </w:rPr>
        <w:t>.</w:t>
      </w:r>
      <w:r w:rsidRPr="00C61356">
        <w:rPr>
          <w:rFonts w:ascii="Arial" w:hAnsi="Arial" w:cs="Arial"/>
        </w:rPr>
        <w:t xml:space="preserve"> </w:t>
      </w:r>
    </w:p>
    <w:p w14:paraId="77FFBB3B" w14:textId="744449F8" w:rsidR="00555FED" w:rsidRPr="00C61356" w:rsidRDefault="00870E8F" w:rsidP="00555FED">
      <w:pPr>
        <w:rPr>
          <w:rFonts w:ascii="Arial" w:hAnsi="Arial" w:cs="Arial"/>
        </w:rPr>
      </w:pPr>
      <w:r>
        <w:rPr>
          <w:rFonts w:ascii="Arial" w:hAnsi="Arial" w:cs="Arial"/>
        </w:rPr>
        <w:t xml:space="preserve">We are planning to propose permanent adoption at the November 14, 2023, Director’s meeting. </w:t>
      </w:r>
      <w:r w:rsidR="00555FED" w:rsidRPr="00C61356">
        <w:rPr>
          <w:rFonts w:ascii="Arial" w:hAnsi="Arial" w:cs="Arial"/>
        </w:rPr>
        <w:t>Lead: Brittany Trujillo</w:t>
      </w:r>
    </w:p>
    <w:p w14:paraId="4025F1BC" w14:textId="44BBC68E" w:rsidR="009D0553" w:rsidRPr="006049B8" w:rsidRDefault="00555FED" w:rsidP="00555FED">
      <w:pPr>
        <w:spacing w:after="0"/>
        <w:rPr>
          <w:rFonts w:ascii="Arial" w:hAnsi="Arial" w:cs="Arial"/>
        </w:rPr>
      </w:pPr>
      <w:r w:rsidRPr="00C61356">
        <w:rPr>
          <w:rFonts w:ascii="Arial" w:hAnsi="Arial" w:cs="Arial"/>
          <w:u w:val="single"/>
        </w:rPr>
        <w:t>AMENDATORY SECTION</w:t>
      </w:r>
      <w:r w:rsidRPr="00C61356">
        <w:rPr>
          <w:rFonts w:ascii="Arial" w:hAnsi="Arial" w:cs="Arial"/>
        </w:rPr>
        <w:t> </w:t>
      </w:r>
    </w:p>
    <w:p w14:paraId="401E712E" w14:textId="77777777" w:rsidR="009D0553" w:rsidRPr="006049B8" w:rsidRDefault="00555FED" w:rsidP="006049B8">
      <w:pPr>
        <w:pStyle w:val="Heading3"/>
      </w:pPr>
      <w:r w:rsidRPr="006049B8">
        <w:rPr>
          <w:rStyle w:val="Heading3Char"/>
          <w:rFonts w:eastAsiaTheme="minorHAnsi"/>
          <w:b/>
          <w:bCs/>
        </w:rPr>
        <w:t>WAC 357-31-</w:t>
      </w:r>
      <w:proofErr w:type="gramStart"/>
      <w:r w:rsidRPr="006049B8">
        <w:rPr>
          <w:rStyle w:val="Heading3Char"/>
          <w:rFonts w:eastAsiaTheme="minorHAnsi"/>
          <w:b/>
          <w:bCs/>
        </w:rPr>
        <w:t>100  Must</w:t>
      </w:r>
      <w:proofErr w:type="gramEnd"/>
      <w:r w:rsidRPr="006049B8">
        <w:rPr>
          <w:rStyle w:val="Heading3Char"/>
          <w:rFonts w:eastAsiaTheme="minorHAnsi"/>
          <w:b/>
          <w:bCs/>
        </w:rPr>
        <w:t xml:space="preserve"> an employer have a policy for requesting and approving leave?</w:t>
      </w:r>
      <w:r w:rsidRPr="006049B8">
        <w:t xml:space="preserve">  </w:t>
      </w:r>
    </w:p>
    <w:p w14:paraId="1D701D6A" w14:textId="6AE8C51B" w:rsidR="00555FED" w:rsidRPr="00C61356" w:rsidRDefault="00555FED" w:rsidP="00555FED">
      <w:pPr>
        <w:rPr>
          <w:rFonts w:ascii="Arial" w:hAnsi="Arial" w:cs="Arial"/>
        </w:rPr>
      </w:pPr>
      <w:r w:rsidRPr="00C61356">
        <w:rPr>
          <w:rFonts w:ascii="Arial" w:hAnsi="Arial" w:cs="Arial"/>
        </w:rPr>
        <w:lastRenderedPageBreak/>
        <w:t>Each employer must develop a leave policy which specifies the procedure for requesting and approving all leave, as provided in the civil service rules. The employer's policy must:</w:t>
      </w:r>
    </w:p>
    <w:p w14:paraId="71252294" w14:textId="77777777" w:rsidR="00555FED" w:rsidRPr="00C61356" w:rsidRDefault="00555FED" w:rsidP="00555FED">
      <w:pPr>
        <w:rPr>
          <w:rFonts w:ascii="Arial" w:hAnsi="Arial" w:cs="Arial"/>
        </w:rPr>
      </w:pPr>
      <w:r w:rsidRPr="00C61356">
        <w:rPr>
          <w:rFonts w:ascii="Arial" w:hAnsi="Arial" w:cs="Arial"/>
        </w:rPr>
        <w:t>(1) Allow an employee to use vacation leave without advance approval when the employee is requesting to use vacation leave to respond to family care emergencies or for an emergency health condition as provided in WAC 357-31-200 (1)(b);</w:t>
      </w:r>
    </w:p>
    <w:p w14:paraId="38AC7503" w14:textId="77777777" w:rsidR="00555FED" w:rsidRPr="00C61356" w:rsidRDefault="00555FED" w:rsidP="00555FED">
      <w:pPr>
        <w:rPr>
          <w:rFonts w:ascii="Arial" w:hAnsi="Arial" w:cs="Arial"/>
        </w:rPr>
      </w:pPr>
      <w:r w:rsidRPr="00C61356">
        <w:rPr>
          <w:rFonts w:ascii="Arial" w:hAnsi="Arial" w:cs="Arial"/>
        </w:rPr>
        <w:t>(2) Allow an employee to use a reasonable amount of accrued leave or unpaid leave when the employee is a victim or has a family member, as defined in chapter 357-01 WAC, who is a victim of domestic violence, sexual assault or stalking as defined in RCW 49.76.020;</w:t>
      </w:r>
    </w:p>
    <w:p w14:paraId="4B11C7A2" w14:textId="77777777" w:rsidR="00555FED" w:rsidRPr="00C61356" w:rsidRDefault="00555FED" w:rsidP="00555FED">
      <w:pPr>
        <w:rPr>
          <w:rFonts w:ascii="Arial" w:hAnsi="Arial" w:cs="Arial"/>
        </w:rPr>
      </w:pPr>
      <w:r w:rsidRPr="00C61356">
        <w:rPr>
          <w:rFonts w:ascii="Arial" w:hAnsi="Arial" w:cs="Arial"/>
        </w:rPr>
        <w:t>(3) Allow an employee to use accrued leave as a supplemental benefit as provided in WAC 357-31-248;</w:t>
      </w:r>
    </w:p>
    <w:p w14:paraId="04248000" w14:textId="77777777" w:rsidR="00555FED" w:rsidRPr="00C61356" w:rsidRDefault="00555FED" w:rsidP="00555FED">
      <w:pPr>
        <w:rPr>
          <w:rFonts w:ascii="Arial" w:hAnsi="Arial" w:cs="Arial"/>
        </w:rPr>
      </w:pPr>
      <w:r w:rsidRPr="00C61356">
        <w:rPr>
          <w:rFonts w:ascii="Arial" w:hAnsi="Arial" w:cs="Arial"/>
        </w:rPr>
        <w:t>(4)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leave;</w:t>
      </w:r>
    </w:p>
    <w:p w14:paraId="074F33EE" w14:textId="77777777" w:rsidR="00555FED" w:rsidRPr="00C61356" w:rsidRDefault="00555FED" w:rsidP="00555FED">
      <w:pPr>
        <w:rPr>
          <w:rFonts w:ascii="Arial" w:hAnsi="Arial" w:cs="Arial"/>
        </w:rPr>
      </w:pPr>
      <w:r w:rsidRPr="00C61356">
        <w:rPr>
          <w:rFonts w:ascii="Arial" w:hAnsi="Arial" w:cs="Arial"/>
        </w:rPr>
        <w:t>(5) Allow an employee to use sick leave for the purpose of parental leave to bond with a newborn, adoptive or foster child. The policy must state the total amount of sick leave allowed to be used beyond 18 weeks in accordance with WAC 357-31-133;</w:t>
      </w:r>
    </w:p>
    <w:p w14:paraId="0487E038" w14:textId="77777777" w:rsidR="00555FED" w:rsidRPr="00C61356" w:rsidRDefault="00555FED" w:rsidP="00555FED">
      <w:pPr>
        <w:rPr>
          <w:rFonts w:ascii="Arial" w:hAnsi="Arial" w:cs="Arial"/>
        </w:rPr>
      </w:pPr>
      <w:r w:rsidRPr="00C61356">
        <w:rPr>
          <w:rFonts w:ascii="Arial" w:hAnsi="Arial" w:cs="Arial"/>
        </w:rPr>
        <w:t>(6) Address overtime eligible employees that are required to provide medical certification or verification to their employer for the use of paid sick leave under chapter 296-128 WAC;</w:t>
      </w:r>
    </w:p>
    <w:p w14:paraId="6BB18501" w14:textId="77777777" w:rsidR="00555FED" w:rsidRPr="00C61356" w:rsidRDefault="00555FED" w:rsidP="00555FED">
      <w:pPr>
        <w:rPr>
          <w:rFonts w:ascii="Arial" w:hAnsi="Arial" w:cs="Arial"/>
        </w:rPr>
      </w:pPr>
      <w:r w:rsidRPr="00C61356">
        <w:rPr>
          <w:rFonts w:ascii="Arial" w:hAnsi="Arial" w:cs="Arial"/>
        </w:rPr>
        <w:t>(7) Address overtime eligible employees that are required to provide reasonable notice to their employer for an absence from work for the use of paid sick leave under chapter 296-128 WAC;</w:t>
      </w:r>
    </w:p>
    <w:p w14:paraId="14486E34" w14:textId="77777777" w:rsidR="00555FED" w:rsidRPr="00C61356" w:rsidRDefault="00555FED" w:rsidP="00555FED">
      <w:pPr>
        <w:rPr>
          <w:rFonts w:ascii="Arial" w:hAnsi="Arial" w:cs="Arial"/>
        </w:rPr>
      </w:pPr>
      <w:r w:rsidRPr="00C61356">
        <w:rPr>
          <w:rFonts w:ascii="Arial" w:hAnsi="Arial" w:cs="Arial"/>
        </w:rPr>
        <w:t>(8) Address whether a general government employee may take additional accrued leave beyond 30 days in a two-year period to participate in life-giving procedures in accordance with RCW 41.06.570;</w:t>
      </w:r>
    </w:p>
    <w:p w14:paraId="39B877AA" w14:textId="77777777" w:rsidR="00555FED" w:rsidRPr="00C61356" w:rsidRDefault="00555FED" w:rsidP="00555FED">
      <w:pPr>
        <w:rPr>
          <w:rFonts w:ascii="Arial" w:hAnsi="Arial" w:cs="Arial"/>
          <w:highlight w:val="green"/>
        </w:rPr>
      </w:pPr>
      <w:r w:rsidRPr="00C61356">
        <w:rPr>
          <w:rFonts w:ascii="Arial" w:hAnsi="Arial" w:cs="Arial"/>
          <w:highlight w:val="green"/>
        </w:rPr>
        <w:t>(9) Allow a high-risk employee((</w:t>
      </w:r>
      <w:r w:rsidRPr="00C61356">
        <w:rPr>
          <w:rFonts w:ascii="Arial" w:hAnsi="Arial" w:cs="Arial"/>
          <w:strike/>
          <w:highlight w:val="green"/>
        </w:rPr>
        <w:t>, as defined in RCW 49.17.062,</w:t>
      </w:r>
      <w:r w:rsidRPr="00C61356">
        <w:rPr>
          <w:rFonts w:ascii="Arial" w:hAnsi="Arial" w:cs="Arial"/>
          <w:highlight w:val="green"/>
        </w:rPr>
        <w:t>)) seeking ((</w:t>
      </w:r>
      <w:r w:rsidRPr="00C61356">
        <w:rPr>
          <w:rFonts w:ascii="Arial" w:hAnsi="Arial" w:cs="Arial"/>
          <w:strike/>
          <w:highlight w:val="green"/>
        </w:rPr>
        <w:t>a reasonable</w:t>
      </w:r>
      <w:r w:rsidRPr="00C61356">
        <w:rPr>
          <w:rFonts w:ascii="Arial" w:hAnsi="Arial" w:cs="Arial"/>
          <w:highlight w:val="green"/>
        </w:rPr>
        <w:t xml:space="preserve">)) </w:t>
      </w:r>
      <w:r w:rsidRPr="00C61356">
        <w:rPr>
          <w:rFonts w:ascii="Arial" w:hAnsi="Arial" w:cs="Arial"/>
          <w:highlight w:val="green"/>
          <w:u w:val="single"/>
        </w:rPr>
        <w:t>an</w:t>
      </w:r>
      <w:r w:rsidRPr="00C61356">
        <w:rPr>
          <w:rFonts w:ascii="Arial" w:hAnsi="Arial" w:cs="Arial"/>
          <w:highlight w:val="green"/>
        </w:rPr>
        <w:t xml:space="preserve"> accommodation to protect themselves from the risk of exposure to an infectious or contagious disease to use their accrued leave ((</w:t>
      </w:r>
      <w:r w:rsidRPr="00C61356">
        <w:rPr>
          <w:rFonts w:ascii="Arial" w:hAnsi="Arial" w:cs="Arial"/>
          <w:strike/>
          <w:highlight w:val="green"/>
        </w:rPr>
        <w:t>and leave without pay</w:t>
      </w:r>
      <w:r w:rsidRPr="00C61356">
        <w:rPr>
          <w:rFonts w:ascii="Arial" w:hAnsi="Arial" w:cs="Arial"/>
          <w:highlight w:val="green"/>
        </w:rPr>
        <w:t>)) if the employer determines no other accommodation is reasonable besides the use of leave</w:t>
      </w:r>
      <w:r w:rsidRPr="00C61356">
        <w:rPr>
          <w:rFonts w:ascii="Arial" w:hAnsi="Arial" w:cs="Arial"/>
          <w:highlight w:val="green"/>
          <w:u w:val="single"/>
        </w:rPr>
        <w:t>. The employer may require that the employees request be supported by verification or documentation</w:t>
      </w:r>
      <w:r w:rsidRPr="00C61356">
        <w:rPr>
          <w:rFonts w:ascii="Arial" w:hAnsi="Arial" w:cs="Arial"/>
          <w:highlight w:val="green"/>
        </w:rPr>
        <w:t>;</w:t>
      </w:r>
    </w:p>
    <w:p w14:paraId="74D38621" w14:textId="77777777" w:rsidR="00555FED" w:rsidRPr="00C61356" w:rsidRDefault="00555FED" w:rsidP="00555FED">
      <w:pPr>
        <w:rPr>
          <w:rFonts w:ascii="Arial" w:hAnsi="Arial" w:cs="Arial"/>
        </w:rPr>
      </w:pPr>
      <w:r w:rsidRPr="00C61356">
        <w:rPr>
          <w:rFonts w:ascii="Arial" w:hAnsi="Arial" w:cs="Arial"/>
          <w:highlight w:val="green"/>
        </w:rPr>
        <w:t xml:space="preserve">(10) </w:t>
      </w:r>
      <w:r w:rsidRPr="00C61356">
        <w:rPr>
          <w:rFonts w:ascii="Arial" w:hAnsi="Arial" w:cs="Arial"/>
          <w:highlight w:val="green"/>
          <w:u w:val="single"/>
        </w:rPr>
        <w:t>Allow a high-risk employee seeking an accommodation to protect themselves from the risk of exposure to an infectious or contagious disease during a public health emergency to use leave without pay if the employer determines no other accommodation is reasonable besides the use of leave in accordance with RCW 49.17.062;</w:t>
      </w:r>
    </w:p>
    <w:p w14:paraId="71CD83DD" w14:textId="77777777" w:rsidR="00555FED" w:rsidRPr="00C61356" w:rsidRDefault="00555FED" w:rsidP="00555FED">
      <w:pPr>
        <w:rPr>
          <w:rFonts w:ascii="Arial" w:hAnsi="Arial" w:cs="Arial"/>
        </w:rPr>
      </w:pPr>
      <w:r w:rsidRPr="00C61356">
        <w:rPr>
          <w:rFonts w:ascii="Arial" w:hAnsi="Arial" w:cs="Arial"/>
          <w:u w:val="single"/>
        </w:rPr>
        <w:t>(11)</w:t>
      </w:r>
      <w:r w:rsidRPr="00C61356">
        <w:rPr>
          <w:rFonts w:ascii="Arial" w:hAnsi="Arial" w:cs="Arial"/>
        </w:rPr>
        <w:t xml:space="preserve"> Allow an employee to use unpaid leave when the employee is granted a temporary leave of absence for service in an elective office in accordance with WAC 357-31-374(1); ((</w:t>
      </w:r>
      <w:r w:rsidRPr="00C61356">
        <w:rPr>
          <w:rFonts w:ascii="Arial" w:hAnsi="Arial" w:cs="Arial"/>
          <w:strike/>
        </w:rPr>
        <w:t>and</w:t>
      </w:r>
    </w:p>
    <w:p w14:paraId="7448BA6E" w14:textId="77777777" w:rsidR="00555FED" w:rsidRPr="00C61356" w:rsidRDefault="00555FED" w:rsidP="00555FED">
      <w:pPr>
        <w:rPr>
          <w:rFonts w:ascii="Arial" w:hAnsi="Arial" w:cs="Arial"/>
        </w:rPr>
      </w:pPr>
      <w:r w:rsidRPr="00C61356">
        <w:rPr>
          <w:rFonts w:ascii="Arial" w:hAnsi="Arial" w:cs="Arial"/>
          <w:strike/>
        </w:rPr>
        <w:t>(11)</w:t>
      </w:r>
      <w:r w:rsidRPr="00C61356">
        <w:rPr>
          <w:rFonts w:ascii="Arial" w:hAnsi="Arial" w:cs="Arial"/>
        </w:rPr>
        <w:t xml:space="preserve">)) </w:t>
      </w:r>
      <w:r w:rsidRPr="00C61356">
        <w:rPr>
          <w:rFonts w:ascii="Arial" w:hAnsi="Arial" w:cs="Arial"/>
          <w:u w:val="single"/>
        </w:rPr>
        <w:t>(12)</w:t>
      </w:r>
      <w:r w:rsidRPr="00C61356">
        <w:rPr>
          <w:rFonts w:ascii="Arial" w:hAnsi="Arial" w:cs="Arial"/>
        </w:rPr>
        <w:t xml:space="preserve"> Allow an employee to use unpaid and/or accrued paid leave when the employee is granted a temporary leave of absence for legislative service in accordance with WAC 357-31-374(2). The policy must state employees who request a leave of absence for legislative service </w:t>
      </w:r>
      <w:r w:rsidRPr="00C61356">
        <w:rPr>
          <w:rFonts w:ascii="Arial" w:hAnsi="Arial" w:cs="Arial"/>
        </w:rPr>
        <w:lastRenderedPageBreak/>
        <w:t>must provide notice to the employer at least 30 days in advance for a regular legislative session or as soon as the session is proclaimed for a special session</w:t>
      </w:r>
      <w:r w:rsidRPr="00C61356">
        <w:rPr>
          <w:rFonts w:ascii="Arial" w:hAnsi="Arial" w:cs="Arial"/>
          <w:u w:val="single"/>
        </w:rPr>
        <w:t>; and</w:t>
      </w:r>
    </w:p>
    <w:p w14:paraId="2DC79029" w14:textId="5DB510CA" w:rsidR="00E77060" w:rsidRPr="00FA5945" w:rsidRDefault="00555FED" w:rsidP="00FA5945">
      <w:pPr>
        <w:rPr>
          <w:rFonts w:ascii="Arial" w:hAnsi="Arial" w:cs="Arial"/>
        </w:rPr>
      </w:pPr>
      <w:r w:rsidRPr="00C61356">
        <w:rPr>
          <w:rFonts w:ascii="Arial" w:hAnsi="Arial" w:cs="Arial"/>
          <w:u w:val="single"/>
        </w:rPr>
        <w:t xml:space="preserve">(13) Address whether former employees who are reemployed after five years of separation from </w:t>
      </w:r>
      <w:r w:rsidRPr="002A28E2">
        <w:rPr>
          <w:rFonts w:ascii="Arial" w:hAnsi="Arial" w:cs="Arial"/>
          <w:u w:val="single"/>
        </w:rPr>
        <w:t>state service</w:t>
      </w:r>
      <w:r w:rsidRPr="00C61356">
        <w:rPr>
          <w:rFonts w:ascii="Arial" w:hAnsi="Arial" w:cs="Arial"/>
          <w:u w:val="single"/>
        </w:rPr>
        <w:t xml:space="preserve"> may be restored unused sick leave credits in accordance with WAC 357-31-160</w:t>
      </w:r>
      <w:r w:rsidRPr="00C61356">
        <w:rPr>
          <w:rFonts w:ascii="Arial" w:hAnsi="Arial" w:cs="Arial"/>
        </w:rPr>
        <w:t>.</w:t>
      </w:r>
    </w:p>
    <w:p w14:paraId="30507658" w14:textId="77777777" w:rsidR="00E77060" w:rsidRDefault="00E77060" w:rsidP="00555FED">
      <w:pPr>
        <w:spacing w:after="0"/>
        <w:rPr>
          <w:rFonts w:ascii="Arial" w:hAnsi="Arial" w:cs="Arial"/>
          <w:u w:val="single"/>
        </w:rPr>
      </w:pPr>
    </w:p>
    <w:p w14:paraId="49273C9A" w14:textId="4EF265F2" w:rsidR="00FD0EB0" w:rsidRPr="006049B8" w:rsidRDefault="00555FED" w:rsidP="00555FED">
      <w:pPr>
        <w:spacing w:after="0"/>
        <w:rPr>
          <w:rFonts w:ascii="Arial" w:hAnsi="Arial" w:cs="Arial"/>
        </w:rPr>
      </w:pPr>
      <w:r w:rsidRPr="00C61356">
        <w:rPr>
          <w:rFonts w:ascii="Arial" w:hAnsi="Arial" w:cs="Arial"/>
          <w:u w:val="single"/>
        </w:rPr>
        <w:t>AMENDATORY SECTION</w:t>
      </w:r>
      <w:r w:rsidRPr="00C61356">
        <w:rPr>
          <w:rFonts w:ascii="Arial" w:hAnsi="Arial" w:cs="Arial"/>
        </w:rPr>
        <w:t> </w:t>
      </w:r>
    </w:p>
    <w:p w14:paraId="7ECF8FB9" w14:textId="77777777" w:rsidR="00C16CDA" w:rsidRPr="006049B8" w:rsidRDefault="00555FED" w:rsidP="006049B8">
      <w:pPr>
        <w:pStyle w:val="Heading3"/>
      </w:pPr>
      <w:r w:rsidRPr="006049B8">
        <w:rPr>
          <w:rStyle w:val="Heading3Char"/>
          <w:rFonts w:eastAsiaTheme="minorHAnsi"/>
          <w:b/>
          <w:bCs/>
        </w:rPr>
        <w:t>WAC 357-31-160  When a former employee is ((re-employed)) reemployed, is sick leave restored?</w:t>
      </w:r>
      <w:r w:rsidRPr="006049B8">
        <w:t xml:space="preserve">  </w:t>
      </w:r>
    </w:p>
    <w:p w14:paraId="5EF133CD" w14:textId="7BC99F25" w:rsidR="00555FED" w:rsidRPr="00C61356" w:rsidRDefault="00555FED" w:rsidP="00555FED">
      <w:pPr>
        <w:rPr>
          <w:rFonts w:ascii="Arial" w:hAnsi="Arial" w:cs="Arial"/>
        </w:rPr>
      </w:pPr>
      <w:r w:rsidRPr="00C61356">
        <w:rPr>
          <w:rFonts w:ascii="Arial" w:hAnsi="Arial" w:cs="Arial"/>
        </w:rPr>
        <w:t>Former employees who are ((</w:t>
      </w:r>
      <w:r w:rsidRPr="00C61356">
        <w:rPr>
          <w:rFonts w:ascii="Arial" w:hAnsi="Arial" w:cs="Arial"/>
          <w:strike/>
        </w:rPr>
        <w:t>re-employed</w:t>
      </w:r>
      <w:r w:rsidRPr="00C61356">
        <w:rPr>
          <w:rFonts w:ascii="Arial" w:hAnsi="Arial" w:cs="Arial"/>
        </w:rPr>
        <w:t xml:space="preserve">)) </w:t>
      </w:r>
      <w:r w:rsidRPr="00C61356">
        <w:rPr>
          <w:rFonts w:ascii="Arial" w:hAnsi="Arial" w:cs="Arial"/>
          <w:u w:val="single"/>
        </w:rPr>
        <w:t xml:space="preserve">reemployed </w:t>
      </w:r>
      <w:r w:rsidRPr="00C61356">
        <w:rPr>
          <w:rFonts w:ascii="Arial" w:hAnsi="Arial" w:cs="Arial"/>
        </w:rPr>
        <w:t xml:space="preserve">within five years of their separation from </w:t>
      </w:r>
      <w:r w:rsidRPr="002A28E2">
        <w:rPr>
          <w:rFonts w:ascii="Arial" w:hAnsi="Arial" w:cs="Arial"/>
          <w:u w:val="single"/>
        </w:rPr>
        <w:t>state</w:t>
      </w:r>
      <w:r w:rsidRPr="00C61356">
        <w:rPr>
          <w:rFonts w:ascii="Arial" w:hAnsi="Arial" w:cs="Arial"/>
          <w:u w:val="single"/>
        </w:rPr>
        <w:t xml:space="preserve"> </w:t>
      </w:r>
      <w:r w:rsidRPr="00C61356">
        <w:rPr>
          <w:rFonts w:ascii="Arial" w:hAnsi="Arial" w:cs="Arial"/>
        </w:rPr>
        <w:t xml:space="preserve">service must be restored unused sick leave credits, if any, to which they were entitled at the time of separation. </w:t>
      </w:r>
      <w:r w:rsidRPr="00C61356">
        <w:rPr>
          <w:rFonts w:ascii="Arial" w:hAnsi="Arial" w:cs="Arial"/>
          <w:u w:val="single"/>
        </w:rPr>
        <w:t xml:space="preserve">Former employees who are reemployed after five years of their separation from </w:t>
      </w:r>
      <w:r w:rsidRPr="002A28E2">
        <w:rPr>
          <w:rFonts w:ascii="Arial" w:hAnsi="Arial" w:cs="Arial"/>
          <w:u w:val="single"/>
        </w:rPr>
        <w:t>state</w:t>
      </w:r>
      <w:r w:rsidRPr="00C61356">
        <w:rPr>
          <w:rFonts w:ascii="Arial" w:hAnsi="Arial" w:cs="Arial"/>
          <w:u w:val="single"/>
        </w:rPr>
        <w:t xml:space="preserve"> service may be restored unused sick leave credits in accordance with the employer's leave policy. </w:t>
      </w:r>
      <w:r w:rsidRPr="00C61356">
        <w:rPr>
          <w:rFonts w:ascii="Arial" w:hAnsi="Arial" w:cs="Arial"/>
        </w:rPr>
        <w:t>The employee may use the restored balance in accordance with WAC 357-31-130 and 357-31-133.</w:t>
      </w:r>
    </w:p>
    <w:p w14:paraId="665D1A0F" w14:textId="77777777" w:rsidR="00555FED" w:rsidRPr="00C61356" w:rsidRDefault="00555FED" w:rsidP="00555FED">
      <w:pPr>
        <w:rPr>
          <w:rFonts w:ascii="Arial" w:hAnsi="Arial" w:cs="Arial"/>
        </w:rPr>
      </w:pPr>
      <w:r w:rsidRPr="00C61356">
        <w:rPr>
          <w:rFonts w:ascii="Arial" w:hAnsi="Arial" w:cs="Arial"/>
        </w:rPr>
        <w:t>If the employee was retired from government service before being ((</w:t>
      </w:r>
      <w:r w:rsidRPr="00C61356">
        <w:rPr>
          <w:rFonts w:ascii="Arial" w:hAnsi="Arial" w:cs="Arial"/>
          <w:strike/>
        </w:rPr>
        <w:t>re-employed</w:t>
      </w:r>
      <w:r w:rsidRPr="00C61356">
        <w:rPr>
          <w:rFonts w:ascii="Arial" w:hAnsi="Arial" w:cs="Arial"/>
        </w:rPr>
        <w:t xml:space="preserve">)) </w:t>
      </w:r>
      <w:r w:rsidRPr="00C61356">
        <w:rPr>
          <w:rFonts w:ascii="Arial" w:hAnsi="Arial" w:cs="Arial"/>
          <w:u w:val="single"/>
        </w:rPr>
        <w:t>reemployed</w:t>
      </w:r>
      <w:r w:rsidRPr="00C61356">
        <w:rPr>
          <w:rFonts w:ascii="Arial" w:hAnsi="Arial" w:cs="Arial"/>
        </w:rPr>
        <w:t>, when the employee subsequently retires again or dies, only that unused sick leave accrued since the date of reemployment minus that taken within the same period may be compensated per the conversion provisions of WAC 357-31-150.</w:t>
      </w:r>
    </w:p>
    <w:p w14:paraId="660430BA" w14:textId="3CB5EF49" w:rsidR="005F2A7D" w:rsidRPr="00F66F77" w:rsidRDefault="00F75E4B" w:rsidP="00184866">
      <w:pPr>
        <w:pStyle w:val="Heading1"/>
        <w:spacing w:after="240"/>
        <w:rPr>
          <w:u w:val="single"/>
        </w:rPr>
      </w:pPr>
      <w:r w:rsidRPr="00F66F77">
        <w:rPr>
          <w:u w:val="single"/>
        </w:rPr>
        <w:t>I</w:t>
      </w:r>
      <w:r w:rsidR="005F2A7D" w:rsidRPr="00F66F77">
        <w:rPr>
          <w:u w:val="single"/>
        </w:rPr>
        <w:t>tem #</w:t>
      </w:r>
      <w:r w:rsidR="004668B3">
        <w:rPr>
          <w:u w:val="single"/>
        </w:rPr>
        <w:t>7</w:t>
      </w:r>
      <w:r w:rsidR="005F2A7D" w:rsidRPr="00F66F77">
        <w:rPr>
          <w:u w:val="single"/>
        </w:rPr>
        <w:t xml:space="preserve"> – </w:t>
      </w:r>
      <w:r w:rsidRPr="00F66F77">
        <w:rPr>
          <w:u w:val="single"/>
        </w:rPr>
        <w:t>Step M</w:t>
      </w:r>
    </w:p>
    <w:p w14:paraId="2981FC89" w14:textId="25C8D180" w:rsidR="005F2A7D" w:rsidRPr="004001E1" w:rsidRDefault="005F2A7D" w:rsidP="005F2A7D">
      <w:pPr>
        <w:rPr>
          <w:rFonts w:ascii="Arial" w:hAnsi="Arial" w:cs="Arial"/>
          <w:bCs/>
          <w:szCs w:val="24"/>
        </w:rPr>
      </w:pPr>
      <w:r w:rsidRPr="004001E1">
        <w:rPr>
          <w:rFonts w:ascii="Arial" w:hAnsi="Arial" w:cs="Arial"/>
          <w:b/>
          <w:szCs w:val="24"/>
          <w:u w:val="single"/>
        </w:rPr>
        <w:t>Staff note:</w:t>
      </w:r>
      <w:r w:rsidR="00184866" w:rsidRPr="00184866">
        <w:rPr>
          <w:rFonts w:ascii="Arial" w:hAnsi="Arial" w:cs="Arial"/>
          <w:bCs/>
          <w:szCs w:val="24"/>
        </w:rPr>
        <w:t xml:space="preserve"> </w:t>
      </w:r>
      <w:r w:rsidR="00184866" w:rsidRPr="0006425C">
        <w:rPr>
          <w:rFonts w:ascii="Arial" w:hAnsi="Arial" w:cs="Arial"/>
        </w:rPr>
        <w:t>On July 1, 2013, new rules were adopted to implement a new Step M that was provided in the 2013 – 2015 operating budget. Step M was originally implemented as a longevity step to allow employees who have been at the top step (step L) in the same salary range for six years to progress to step M. We are proposing the following rule amendments to clarify certain scenarios based on questions received since inception:</w:t>
      </w:r>
      <w:r w:rsidRPr="004001E1">
        <w:rPr>
          <w:rFonts w:ascii="Arial" w:hAnsi="Arial" w:cs="Arial"/>
          <w:bCs/>
          <w:szCs w:val="24"/>
        </w:rPr>
        <w:t xml:space="preserve"> </w:t>
      </w:r>
    </w:p>
    <w:p w14:paraId="7AC1D75A" w14:textId="77777777" w:rsidR="005F2A7D" w:rsidRPr="005F2A7D" w:rsidRDefault="005F2A7D" w:rsidP="005F2A7D">
      <w:pPr>
        <w:pStyle w:val="ListParagraph"/>
        <w:numPr>
          <w:ilvl w:val="0"/>
          <w:numId w:val="15"/>
        </w:numPr>
        <w:rPr>
          <w:rFonts w:ascii="Arial" w:hAnsi="Arial" w:cs="Arial"/>
          <w:b/>
          <w:bCs/>
          <w:u w:val="single"/>
        </w:rPr>
      </w:pPr>
      <w:r w:rsidRPr="005F2A7D">
        <w:rPr>
          <w:rFonts w:ascii="Arial" w:hAnsi="Arial" w:cs="Arial"/>
        </w:rPr>
        <w:t xml:space="preserve">Amend WAC 357-28-082 to align with WAC 357-28-090 allowing an employee to be appointed to step M upon initial hire for recruitment, retention, or other </w:t>
      </w:r>
      <w:proofErr w:type="gramStart"/>
      <w:r w:rsidRPr="005F2A7D">
        <w:rPr>
          <w:rFonts w:ascii="Arial" w:hAnsi="Arial" w:cs="Arial"/>
        </w:rPr>
        <w:t>business related</w:t>
      </w:r>
      <w:proofErr w:type="gramEnd"/>
      <w:r w:rsidRPr="005F2A7D">
        <w:rPr>
          <w:rFonts w:ascii="Arial" w:hAnsi="Arial" w:cs="Arial"/>
        </w:rPr>
        <w:t xml:space="preserve"> reasons. </w:t>
      </w:r>
    </w:p>
    <w:p w14:paraId="796F91C0" w14:textId="77777777" w:rsidR="005F2A7D" w:rsidRPr="005F2A7D" w:rsidRDefault="005F2A7D" w:rsidP="005F2A7D">
      <w:pPr>
        <w:pStyle w:val="ListParagraph"/>
        <w:numPr>
          <w:ilvl w:val="0"/>
          <w:numId w:val="15"/>
        </w:numPr>
        <w:rPr>
          <w:rFonts w:ascii="Arial" w:hAnsi="Arial" w:cs="Arial"/>
          <w:bCs/>
        </w:rPr>
      </w:pPr>
      <w:r w:rsidRPr="005F2A7D">
        <w:rPr>
          <w:rFonts w:ascii="Arial" w:hAnsi="Arial" w:cs="Arial"/>
        </w:rPr>
        <w:t xml:space="preserve">Amend WAC 357-28-084 to add to subsections (3), (4) and (5) to clarify an employee may be appointed to step M if the demotion is a result of a reasonable accommodation; or as a result of layoff in accordance with </w:t>
      </w:r>
      <w:hyperlink r:id="rId106">
        <w:r w:rsidRPr="005F2A7D">
          <w:rPr>
            <w:rFonts w:ascii="Arial" w:hAnsi="Arial" w:cs="Arial"/>
          </w:rPr>
          <w:t>WAC 357-28-135</w:t>
        </w:r>
      </w:hyperlink>
      <w:r w:rsidRPr="005F2A7D">
        <w:rPr>
          <w:rFonts w:ascii="Arial" w:hAnsi="Arial" w:cs="Arial"/>
        </w:rPr>
        <w:t xml:space="preserve">; or for recruitment and retention or other business related reasons </w:t>
      </w:r>
      <w:r w:rsidRPr="005F2A7D">
        <w:rPr>
          <w:rFonts w:ascii="Arial" w:hAnsi="Arial" w:cs="Arial"/>
          <w:bCs/>
        </w:rPr>
        <w:t xml:space="preserve">in accordance with </w:t>
      </w:r>
      <w:hyperlink r:id="rId107" w:history="1">
        <w:r w:rsidRPr="005F2A7D">
          <w:rPr>
            <w:rFonts w:ascii="Arial" w:hAnsi="Arial" w:cs="Arial"/>
            <w:bCs/>
          </w:rPr>
          <w:t>WAC 357-28-090</w:t>
        </w:r>
      </w:hyperlink>
      <w:r w:rsidRPr="005F2A7D">
        <w:rPr>
          <w:rFonts w:ascii="Arial" w:hAnsi="Arial" w:cs="Arial"/>
          <w:bCs/>
        </w:rPr>
        <w:t>.</w:t>
      </w:r>
    </w:p>
    <w:p w14:paraId="48376EE8" w14:textId="77777777" w:rsidR="005F2A7D" w:rsidRPr="005F2A7D" w:rsidRDefault="005F2A7D" w:rsidP="005F2A7D">
      <w:pPr>
        <w:pStyle w:val="ListParagraph"/>
        <w:numPr>
          <w:ilvl w:val="0"/>
          <w:numId w:val="15"/>
        </w:numPr>
        <w:rPr>
          <w:rFonts w:ascii="Arial" w:hAnsi="Arial" w:cs="Arial"/>
          <w:bCs/>
        </w:rPr>
      </w:pPr>
      <w:r w:rsidRPr="005F2A7D">
        <w:rPr>
          <w:rFonts w:ascii="Arial" w:hAnsi="Arial" w:cs="Arial"/>
          <w:bCs/>
        </w:rPr>
        <w:t>Amend WAC 357-28-086(1) to state an employee may be appointed to step M as a result of a layoff option to align</w:t>
      </w:r>
      <w:r w:rsidRPr="005F2A7D">
        <w:rPr>
          <w:rFonts w:ascii="Arial" w:hAnsi="Arial" w:cs="Arial"/>
        </w:rPr>
        <w:t xml:space="preserve"> in accordance with </w:t>
      </w:r>
      <w:hyperlink r:id="rId108" w:history="1">
        <w:r w:rsidRPr="005F2A7D">
          <w:rPr>
            <w:rFonts w:ascii="Arial" w:hAnsi="Arial" w:cs="Arial"/>
            <w:bCs/>
          </w:rPr>
          <w:t>WAC 357-28-088</w:t>
        </w:r>
      </w:hyperlink>
      <w:r w:rsidRPr="005F2A7D">
        <w:rPr>
          <w:rFonts w:ascii="Arial" w:hAnsi="Arial" w:cs="Arial"/>
          <w:bCs/>
        </w:rPr>
        <w:t xml:space="preserve">. </w:t>
      </w:r>
    </w:p>
    <w:p w14:paraId="11A69360" w14:textId="77777777" w:rsidR="005F2A7D" w:rsidRPr="005F2A7D" w:rsidRDefault="005F2A7D" w:rsidP="005F2A7D">
      <w:pPr>
        <w:pStyle w:val="ListParagraph"/>
        <w:numPr>
          <w:ilvl w:val="0"/>
          <w:numId w:val="15"/>
        </w:numPr>
        <w:rPr>
          <w:rFonts w:ascii="Arial" w:hAnsi="Arial" w:cs="Arial"/>
          <w:bCs/>
        </w:rPr>
      </w:pPr>
      <w:r w:rsidRPr="005F2A7D">
        <w:rPr>
          <w:rFonts w:ascii="Arial" w:hAnsi="Arial" w:cs="Arial"/>
          <w:bCs/>
        </w:rPr>
        <w:t xml:space="preserve">Amend WAC 357-28-088 to clarify that if an employee was demoted </w:t>
      </w:r>
      <w:proofErr w:type="gramStart"/>
      <w:r w:rsidRPr="005F2A7D">
        <w:rPr>
          <w:rFonts w:ascii="Arial" w:hAnsi="Arial" w:cs="Arial"/>
          <w:bCs/>
        </w:rPr>
        <w:t>as a result of</w:t>
      </w:r>
      <w:proofErr w:type="gramEnd"/>
      <w:r w:rsidRPr="005F2A7D">
        <w:rPr>
          <w:rFonts w:ascii="Arial" w:hAnsi="Arial" w:cs="Arial"/>
          <w:bCs/>
        </w:rPr>
        <w:t xml:space="preserve"> a reasonable accommodation or due to a layoff action, the employee may be placed at step Mand to correct the WAC reference. </w:t>
      </w:r>
    </w:p>
    <w:p w14:paraId="3E707C3A" w14:textId="77777777" w:rsidR="005F2A7D" w:rsidRPr="005F2A7D" w:rsidRDefault="005F2A7D" w:rsidP="005F2A7D">
      <w:pPr>
        <w:pStyle w:val="ListParagraph"/>
        <w:numPr>
          <w:ilvl w:val="0"/>
          <w:numId w:val="15"/>
        </w:numPr>
        <w:rPr>
          <w:rFonts w:ascii="Arial" w:hAnsi="Arial" w:cs="Arial"/>
        </w:rPr>
      </w:pPr>
      <w:r w:rsidRPr="005F2A7D">
        <w:rPr>
          <w:rFonts w:ascii="Arial" w:hAnsi="Arial" w:cs="Arial"/>
        </w:rPr>
        <w:t xml:space="preserve">Amend WAC 357-28-120 to clarify that an employee’s base salary may be set higher than step M until the employee vacates the position, or their salary falls within the new salary range and to reflect gender neutral pronouns. </w:t>
      </w:r>
    </w:p>
    <w:p w14:paraId="7C5A994E" w14:textId="77777777" w:rsidR="005F2A7D" w:rsidRPr="005F2A7D" w:rsidRDefault="005F2A7D" w:rsidP="005F2A7D">
      <w:pPr>
        <w:pStyle w:val="ListParagraph"/>
        <w:numPr>
          <w:ilvl w:val="0"/>
          <w:numId w:val="15"/>
        </w:numPr>
        <w:rPr>
          <w:rFonts w:ascii="Arial" w:hAnsi="Arial" w:cs="Arial"/>
          <w:bCs/>
        </w:rPr>
      </w:pPr>
      <w:r w:rsidRPr="005F2A7D">
        <w:rPr>
          <w:rFonts w:ascii="Arial" w:hAnsi="Arial" w:cs="Arial"/>
          <w:bCs/>
        </w:rPr>
        <w:t xml:space="preserve">Amend WAC 357-28-135 to state an employee whose previous base salary was at step M of a salary range when accepting a layoff option to a position with a lower salary </w:t>
      </w:r>
      <w:r w:rsidRPr="005F2A7D">
        <w:rPr>
          <w:rFonts w:ascii="Arial" w:hAnsi="Arial" w:cs="Arial"/>
          <w:bCs/>
        </w:rPr>
        <w:lastRenderedPageBreak/>
        <w:t>range maximum at the time of being appointed must be placed at step M of the new salary range; and to clarify an employee whose previous base salary was at step L of a salary range when accepting a layoff option to a position with a lower salary range, any previous time spent at step L will count towards the requirement to progress to step M of the new salary range. Additionally, staff is proposing to re-organize the layout of the section for clarity. These changes are not intended to modify the intent of the section.</w:t>
      </w:r>
    </w:p>
    <w:p w14:paraId="3AB8362E" w14:textId="77777777" w:rsidR="005F2A7D" w:rsidRPr="005F2A7D" w:rsidRDefault="005F2A7D" w:rsidP="005F2A7D">
      <w:pPr>
        <w:pStyle w:val="ListParagraph"/>
        <w:numPr>
          <w:ilvl w:val="0"/>
          <w:numId w:val="15"/>
        </w:numPr>
        <w:rPr>
          <w:rFonts w:ascii="Arial" w:hAnsi="Arial" w:cs="Arial"/>
          <w:u w:val="single"/>
        </w:rPr>
      </w:pPr>
      <w:r w:rsidRPr="005F2A7D">
        <w:rPr>
          <w:rFonts w:ascii="Arial" w:hAnsi="Arial" w:cs="Arial"/>
        </w:rPr>
        <w:t>Amend WAC 357-28-155 to add subsection (2) to state if the demotion is a result of a reasonable accommodation, the employee may be appointed to step M in accordance with WAC 357-28-084.</w:t>
      </w:r>
    </w:p>
    <w:p w14:paraId="3111C2D9" w14:textId="6B8BC16B" w:rsidR="00C3631E" w:rsidRPr="00C3631E" w:rsidRDefault="00870E8F" w:rsidP="005F2A7D">
      <w:pPr>
        <w:rPr>
          <w:rFonts w:ascii="Arial" w:hAnsi="Arial" w:cs="Arial"/>
        </w:rPr>
      </w:pPr>
      <w:r>
        <w:rPr>
          <w:rFonts w:ascii="Arial" w:hAnsi="Arial" w:cs="Arial"/>
        </w:rPr>
        <w:t xml:space="preserve">We are planning to propose permanent adoption at the November 14, 2023, Director’s meeting. </w:t>
      </w:r>
      <w:r w:rsidR="00C3631E" w:rsidRPr="00C61356">
        <w:rPr>
          <w:rFonts w:ascii="Arial" w:hAnsi="Arial" w:cs="Arial"/>
        </w:rPr>
        <w:t>Lead: Brittany Trujillo</w:t>
      </w:r>
    </w:p>
    <w:p w14:paraId="365BC189" w14:textId="1A691CBA" w:rsidR="005F2A7D" w:rsidRPr="00F75E4B" w:rsidRDefault="005F2A7D" w:rsidP="005F2A7D">
      <w:pPr>
        <w:rPr>
          <w:rFonts w:ascii="Arial" w:hAnsi="Arial" w:cs="Arial"/>
          <w:szCs w:val="24"/>
        </w:rPr>
      </w:pPr>
      <w:r w:rsidRPr="00F75E4B">
        <w:rPr>
          <w:rFonts w:ascii="Arial" w:hAnsi="Arial" w:cs="Arial"/>
          <w:szCs w:val="24"/>
          <w:u w:val="single"/>
        </w:rPr>
        <w:t>AMENDATORY SECTION</w:t>
      </w:r>
      <w:r w:rsidRPr="00F75E4B">
        <w:rPr>
          <w:rFonts w:ascii="Arial" w:hAnsi="Arial" w:cs="Arial"/>
          <w:szCs w:val="24"/>
        </w:rPr>
        <w:t> </w:t>
      </w:r>
    </w:p>
    <w:p w14:paraId="558DF434" w14:textId="6127331D" w:rsidR="005F2A7D" w:rsidRPr="006049B8" w:rsidRDefault="005F2A7D" w:rsidP="006049B8">
      <w:pPr>
        <w:pStyle w:val="Heading3"/>
      </w:pPr>
      <w:r w:rsidRPr="006049B8">
        <w:t>WAC 357-28-</w:t>
      </w:r>
      <w:proofErr w:type="gramStart"/>
      <w:r w:rsidRPr="006049B8">
        <w:t>082  Is</w:t>
      </w:r>
      <w:proofErr w:type="gramEnd"/>
      <w:r w:rsidRPr="006049B8">
        <w:t xml:space="preserve"> step M on the salary schedule different than other salary steps?  </w:t>
      </w:r>
    </w:p>
    <w:p w14:paraId="528ED754" w14:textId="07FF0B17" w:rsidR="00403459" w:rsidRDefault="005F2A7D" w:rsidP="005F2A7D">
      <w:pPr>
        <w:rPr>
          <w:rFonts w:ascii="Arial" w:hAnsi="Arial" w:cs="Arial"/>
          <w:szCs w:val="24"/>
        </w:rPr>
      </w:pPr>
      <w:r w:rsidRPr="00F75E4B">
        <w:rPr>
          <w:rFonts w:ascii="Arial" w:hAnsi="Arial" w:cs="Arial"/>
          <w:szCs w:val="24"/>
        </w:rPr>
        <w:t xml:space="preserve">Step M is a longevity step. An employee cannot be appointed to step M upon initial hire </w:t>
      </w:r>
      <w:r w:rsidRPr="00F75E4B">
        <w:rPr>
          <w:rFonts w:ascii="Arial" w:hAnsi="Arial" w:cs="Arial"/>
          <w:szCs w:val="24"/>
          <w:u w:val="single"/>
        </w:rPr>
        <w:t xml:space="preserve">unless for recruitment and retention or other </w:t>
      </w:r>
      <w:proofErr w:type="gramStart"/>
      <w:r w:rsidRPr="00F75E4B">
        <w:rPr>
          <w:rFonts w:ascii="Arial" w:hAnsi="Arial" w:cs="Arial"/>
          <w:szCs w:val="24"/>
          <w:u w:val="single"/>
        </w:rPr>
        <w:t>business related</w:t>
      </w:r>
      <w:proofErr w:type="gramEnd"/>
      <w:r w:rsidRPr="00F75E4B">
        <w:rPr>
          <w:rFonts w:ascii="Arial" w:hAnsi="Arial" w:cs="Arial"/>
          <w:szCs w:val="24"/>
          <w:u w:val="single"/>
        </w:rPr>
        <w:t xml:space="preserve"> reasons in accordance with WAC 357-28-090</w:t>
      </w:r>
      <w:r w:rsidRPr="00F75E4B">
        <w:rPr>
          <w:rFonts w:ascii="Arial" w:hAnsi="Arial" w:cs="Arial"/>
          <w:szCs w:val="24"/>
        </w:rPr>
        <w:t>.</w:t>
      </w:r>
    </w:p>
    <w:p w14:paraId="1EEF19A5" w14:textId="77777777" w:rsidR="00570A36" w:rsidRPr="00F75E4B" w:rsidRDefault="00570A36" w:rsidP="005F2A7D">
      <w:pPr>
        <w:rPr>
          <w:rFonts w:ascii="Arial" w:hAnsi="Arial" w:cs="Arial"/>
          <w:szCs w:val="24"/>
        </w:rPr>
      </w:pPr>
    </w:p>
    <w:p w14:paraId="2720B8D7" w14:textId="16DFAD49" w:rsidR="005F2A7D" w:rsidRPr="00F75E4B" w:rsidRDefault="005F2A7D" w:rsidP="005F2A7D">
      <w:pPr>
        <w:rPr>
          <w:rFonts w:ascii="Arial" w:hAnsi="Arial" w:cs="Arial"/>
          <w:szCs w:val="24"/>
        </w:rPr>
      </w:pPr>
      <w:r w:rsidRPr="00F75E4B">
        <w:rPr>
          <w:rFonts w:ascii="Arial" w:hAnsi="Arial" w:cs="Arial"/>
          <w:szCs w:val="24"/>
          <w:u w:val="single"/>
        </w:rPr>
        <w:t>AMENDATORY SECTION</w:t>
      </w:r>
      <w:r w:rsidRPr="00F75E4B">
        <w:rPr>
          <w:rFonts w:ascii="Arial" w:hAnsi="Arial" w:cs="Arial"/>
          <w:szCs w:val="24"/>
        </w:rPr>
        <w:t> </w:t>
      </w:r>
    </w:p>
    <w:p w14:paraId="511AD78E" w14:textId="3348842E" w:rsidR="005F2A7D" w:rsidRPr="006049B8" w:rsidRDefault="005F2A7D" w:rsidP="006049B8">
      <w:pPr>
        <w:pStyle w:val="Heading3"/>
      </w:pPr>
      <w:r w:rsidRPr="006049B8">
        <w:t xml:space="preserve">WAC 357-28-084  ((Can)) May an employee be appointed to step M upon demotion (voluntary or involuntary)?  </w:t>
      </w:r>
    </w:p>
    <w:p w14:paraId="0DCC3E60" w14:textId="77777777" w:rsidR="005F2A7D" w:rsidRPr="00F75E4B" w:rsidRDefault="005F2A7D" w:rsidP="005F2A7D">
      <w:pPr>
        <w:rPr>
          <w:rFonts w:ascii="Arial" w:hAnsi="Arial" w:cs="Arial"/>
          <w:szCs w:val="24"/>
        </w:rPr>
      </w:pPr>
      <w:r w:rsidRPr="00F75E4B">
        <w:rPr>
          <w:rFonts w:ascii="Arial" w:hAnsi="Arial" w:cs="Arial"/>
          <w:szCs w:val="24"/>
        </w:rPr>
        <w:t>An employee cannot be appointed to step M upon demotion (voluntary or involuntary) unless</w:t>
      </w:r>
      <w:r w:rsidRPr="00F75E4B">
        <w:rPr>
          <w:rFonts w:ascii="Arial" w:hAnsi="Arial" w:cs="Arial"/>
          <w:szCs w:val="24"/>
          <w:u w:val="single"/>
        </w:rPr>
        <w:t>:</w:t>
      </w:r>
    </w:p>
    <w:p w14:paraId="6F81AFE8" w14:textId="77777777" w:rsidR="005F2A7D" w:rsidRPr="00F75E4B" w:rsidRDefault="005F2A7D" w:rsidP="005F2A7D">
      <w:pPr>
        <w:ind w:firstLine="720"/>
        <w:rPr>
          <w:rFonts w:ascii="Arial" w:hAnsi="Arial" w:cs="Arial"/>
          <w:szCs w:val="24"/>
        </w:rPr>
      </w:pPr>
      <w:r w:rsidRPr="00F75E4B">
        <w:rPr>
          <w:rFonts w:ascii="Arial" w:hAnsi="Arial" w:cs="Arial"/>
          <w:szCs w:val="24"/>
          <w:u w:val="single"/>
        </w:rPr>
        <w:t>(1) T</w:t>
      </w:r>
      <w:r w:rsidRPr="00F75E4B">
        <w:rPr>
          <w:rFonts w:ascii="Arial" w:hAnsi="Arial" w:cs="Arial"/>
          <w:szCs w:val="24"/>
        </w:rPr>
        <w:t>he employee was at step M of the salary range from which the employee is demoting ((</w:t>
      </w:r>
      <w:r w:rsidRPr="00F75E4B">
        <w:rPr>
          <w:rFonts w:ascii="Arial" w:hAnsi="Arial" w:cs="Arial"/>
          <w:strike/>
          <w:szCs w:val="24"/>
        </w:rPr>
        <w:t>or</w:t>
      </w:r>
      <w:r w:rsidRPr="00F75E4B">
        <w:rPr>
          <w:rFonts w:ascii="Arial" w:hAnsi="Arial" w:cs="Arial"/>
          <w:szCs w:val="24"/>
        </w:rPr>
        <w:t>))</w:t>
      </w:r>
      <w:r w:rsidRPr="00F75E4B">
        <w:rPr>
          <w:rFonts w:ascii="Arial" w:hAnsi="Arial" w:cs="Arial"/>
          <w:szCs w:val="24"/>
          <w:u w:val="single"/>
        </w:rPr>
        <w:t>;</w:t>
      </w:r>
    </w:p>
    <w:p w14:paraId="5D46389D" w14:textId="77777777" w:rsidR="005F2A7D" w:rsidRPr="00F75E4B" w:rsidRDefault="005F2A7D" w:rsidP="005F2A7D">
      <w:pPr>
        <w:ind w:firstLine="720"/>
        <w:rPr>
          <w:rFonts w:ascii="Arial" w:hAnsi="Arial" w:cs="Arial"/>
          <w:szCs w:val="24"/>
        </w:rPr>
      </w:pPr>
      <w:r w:rsidRPr="00F75E4B">
        <w:rPr>
          <w:rFonts w:ascii="Arial" w:hAnsi="Arial" w:cs="Arial"/>
          <w:szCs w:val="24"/>
          <w:u w:val="single"/>
        </w:rPr>
        <w:t>(2) T</w:t>
      </w:r>
      <w:r w:rsidRPr="00F75E4B">
        <w:rPr>
          <w:rFonts w:ascii="Arial" w:hAnsi="Arial" w:cs="Arial"/>
          <w:szCs w:val="24"/>
        </w:rPr>
        <w:t>he employee was previously at step M in the salary range of the class the employee is demoting to</w:t>
      </w:r>
      <w:r w:rsidRPr="00F75E4B">
        <w:rPr>
          <w:rFonts w:ascii="Arial" w:hAnsi="Arial" w:cs="Arial"/>
          <w:szCs w:val="24"/>
          <w:u w:val="single"/>
        </w:rPr>
        <w:t>;</w:t>
      </w:r>
    </w:p>
    <w:p w14:paraId="69F6B713" w14:textId="77777777" w:rsidR="005F2A7D" w:rsidRPr="00F75E4B" w:rsidRDefault="005F2A7D" w:rsidP="005F2A7D">
      <w:pPr>
        <w:ind w:firstLine="720"/>
        <w:rPr>
          <w:rFonts w:ascii="Arial" w:hAnsi="Arial" w:cs="Arial"/>
          <w:szCs w:val="24"/>
        </w:rPr>
      </w:pPr>
      <w:r w:rsidRPr="00F75E4B">
        <w:rPr>
          <w:rFonts w:ascii="Arial" w:hAnsi="Arial" w:cs="Arial"/>
          <w:szCs w:val="24"/>
          <w:u w:val="single"/>
        </w:rPr>
        <w:t>(3) The demotion is a result of a reasonable accommodation;</w:t>
      </w:r>
    </w:p>
    <w:p w14:paraId="38DA3E27" w14:textId="77777777" w:rsidR="005F2A7D" w:rsidRPr="00F75E4B" w:rsidRDefault="005F2A7D" w:rsidP="005F2A7D">
      <w:pPr>
        <w:ind w:firstLine="720"/>
        <w:rPr>
          <w:rFonts w:ascii="Arial" w:hAnsi="Arial" w:cs="Arial"/>
          <w:szCs w:val="24"/>
        </w:rPr>
      </w:pPr>
      <w:r w:rsidRPr="00F75E4B">
        <w:rPr>
          <w:rFonts w:ascii="Arial" w:hAnsi="Arial" w:cs="Arial"/>
          <w:szCs w:val="24"/>
          <w:u w:val="single"/>
        </w:rPr>
        <w:t>(4) The employee was appointed to a position due to layoff action in accordance with WAC 357-28-135; or</w:t>
      </w:r>
    </w:p>
    <w:p w14:paraId="278F2760" w14:textId="77777777" w:rsidR="005F2A7D" w:rsidRPr="00F75E4B" w:rsidRDefault="005F2A7D" w:rsidP="005F2A7D">
      <w:pPr>
        <w:ind w:firstLine="720"/>
        <w:rPr>
          <w:rFonts w:ascii="Arial" w:hAnsi="Arial" w:cs="Arial"/>
          <w:szCs w:val="24"/>
        </w:rPr>
      </w:pPr>
      <w:r w:rsidRPr="00F75E4B">
        <w:rPr>
          <w:rFonts w:ascii="Arial" w:hAnsi="Arial" w:cs="Arial"/>
          <w:szCs w:val="24"/>
          <w:u w:val="single"/>
        </w:rPr>
        <w:t xml:space="preserve">(5) It is for recruitment and retention or other </w:t>
      </w:r>
      <w:proofErr w:type="gramStart"/>
      <w:r w:rsidRPr="00F75E4B">
        <w:rPr>
          <w:rFonts w:ascii="Arial" w:hAnsi="Arial" w:cs="Arial"/>
          <w:szCs w:val="24"/>
          <w:u w:val="single"/>
        </w:rPr>
        <w:t>business related</w:t>
      </w:r>
      <w:proofErr w:type="gramEnd"/>
      <w:r w:rsidRPr="00F75E4B">
        <w:rPr>
          <w:rFonts w:ascii="Arial" w:hAnsi="Arial" w:cs="Arial"/>
          <w:szCs w:val="24"/>
          <w:u w:val="single"/>
        </w:rPr>
        <w:t xml:space="preserve"> reasons in accordance with WAC 357-28-090</w:t>
      </w:r>
      <w:r w:rsidRPr="00F75E4B">
        <w:rPr>
          <w:rFonts w:ascii="Arial" w:hAnsi="Arial" w:cs="Arial"/>
          <w:szCs w:val="24"/>
        </w:rPr>
        <w:t>.</w:t>
      </w:r>
    </w:p>
    <w:p w14:paraId="39E6531C" w14:textId="77777777" w:rsidR="005F2A7D" w:rsidRPr="00F75E4B" w:rsidRDefault="005F2A7D" w:rsidP="005F2A7D">
      <w:pPr>
        <w:rPr>
          <w:rFonts w:ascii="Arial" w:hAnsi="Arial" w:cs="Arial"/>
          <w:szCs w:val="24"/>
        </w:rPr>
      </w:pPr>
    </w:p>
    <w:p w14:paraId="653356A0" w14:textId="02E860DF" w:rsidR="005F2A7D" w:rsidRPr="00F75E4B" w:rsidRDefault="005F2A7D" w:rsidP="005F2A7D">
      <w:pPr>
        <w:rPr>
          <w:rFonts w:ascii="Arial" w:hAnsi="Arial" w:cs="Arial"/>
          <w:szCs w:val="24"/>
        </w:rPr>
      </w:pPr>
      <w:r w:rsidRPr="00F75E4B">
        <w:rPr>
          <w:rFonts w:ascii="Arial" w:hAnsi="Arial" w:cs="Arial"/>
          <w:szCs w:val="24"/>
          <w:u w:val="single"/>
        </w:rPr>
        <w:t>AMENDATORY SECTION</w:t>
      </w:r>
    </w:p>
    <w:p w14:paraId="74C241A0" w14:textId="3C428330" w:rsidR="005F2A7D" w:rsidRPr="006049B8" w:rsidRDefault="005F2A7D" w:rsidP="006049B8">
      <w:pPr>
        <w:pStyle w:val="Heading3"/>
      </w:pPr>
      <w:r w:rsidRPr="006049B8">
        <w:t xml:space="preserve">WAC 357-28-086  When may an employee progress to step M of the salary range?  </w:t>
      </w:r>
    </w:p>
    <w:p w14:paraId="5B5C7E26" w14:textId="77777777" w:rsidR="005F2A7D" w:rsidRPr="00F75E4B" w:rsidRDefault="005F2A7D" w:rsidP="005F2A7D">
      <w:pPr>
        <w:rPr>
          <w:rFonts w:ascii="Arial" w:hAnsi="Arial" w:cs="Arial"/>
          <w:szCs w:val="24"/>
        </w:rPr>
      </w:pPr>
      <w:r w:rsidRPr="00F75E4B">
        <w:rPr>
          <w:rFonts w:ascii="Arial" w:hAnsi="Arial" w:cs="Arial"/>
          <w:szCs w:val="24"/>
        </w:rPr>
        <w:t xml:space="preserve">(1) If an employee is currently at step L of a salary range, the employee will progress to step M of that same salary range six years from the date they were advanced or appointed to step L. </w:t>
      </w:r>
      <w:r w:rsidRPr="00F75E4B">
        <w:rPr>
          <w:rFonts w:ascii="Arial" w:hAnsi="Arial" w:cs="Arial"/>
          <w:szCs w:val="24"/>
        </w:rPr>
        <w:lastRenderedPageBreak/>
        <w:t xml:space="preserve">The progression to step M is regardless of what has transpired in the six years since the employee was appointed to step L, provided that the employee is at step L in the same pay range as the pay range the employee was in at the beginning of the six-year period </w:t>
      </w:r>
      <w:r w:rsidRPr="00F75E4B">
        <w:rPr>
          <w:rFonts w:ascii="Arial" w:hAnsi="Arial" w:cs="Arial"/>
          <w:szCs w:val="24"/>
          <w:u w:val="single"/>
        </w:rPr>
        <w:t>except in accordance with WAC 357-28-088</w:t>
      </w:r>
      <w:r w:rsidRPr="00F75E4B">
        <w:rPr>
          <w:rFonts w:ascii="Arial" w:hAnsi="Arial" w:cs="Arial"/>
          <w:szCs w:val="24"/>
        </w:rPr>
        <w:t>.</w:t>
      </w:r>
    </w:p>
    <w:p w14:paraId="06606EB8" w14:textId="77777777" w:rsidR="005F2A7D" w:rsidRPr="00F75E4B" w:rsidRDefault="005F2A7D" w:rsidP="005F2A7D">
      <w:pPr>
        <w:ind w:firstLine="720"/>
        <w:rPr>
          <w:rFonts w:ascii="Arial" w:hAnsi="Arial" w:cs="Arial"/>
          <w:szCs w:val="24"/>
        </w:rPr>
      </w:pPr>
      <w:r w:rsidRPr="00F75E4B">
        <w:rPr>
          <w:rFonts w:ascii="Arial" w:hAnsi="Arial" w:cs="Arial"/>
          <w:szCs w:val="24"/>
        </w:rPr>
        <w:t>(2) With director approval, higher education institutions may make all movements to step M effective:</w:t>
      </w:r>
    </w:p>
    <w:p w14:paraId="3C84466F" w14:textId="77777777" w:rsidR="005F2A7D" w:rsidRPr="00F75E4B" w:rsidRDefault="005F2A7D" w:rsidP="005F2A7D">
      <w:pPr>
        <w:ind w:firstLine="720"/>
        <w:rPr>
          <w:rFonts w:ascii="Arial" w:hAnsi="Arial" w:cs="Arial"/>
          <w:szCs w:val="24"/>
        </w:rPr>
      </w:pPr>
      <w:r w:rsidRPr="00F75E4B">
        <w:rPr>
          <w:rFonts w:ascii="Arial" w:hAnsi="Arial" w:cs="Arial"/>
          <w:szCs w:val="24"/>
        </w:rPr>
        <w:t>(a) The first of the current month for actions occurring between the first and the ((</w:t>
      </w:r>
      <w:r w:rsidRPr="00F75E4B">
        <w:rPr>
          <w:rFonts w:ascii="Arial" w:hAnsi="Arial" w:cs="Arial"/>
          <w:strike/>
          <w:szCs w:val="24"/>
        </w:rPr>
        <w:t>fifteenth</w:t>
      </w:r>
      <w:r w:rsidRPr="00F75E4B">
        <w:rPr>
          <w:rFonts w:ascii="Arial" w:hAnsi="Arial" w:cs="Arial"/>
          <w:szCs w:val="24"/>
        </w:rPr>
        <w:t xml:space="preserve">)) </w:t>
      </w:r>
      <w:r w:rsidRPr="00F75E4B">
        <w:rPr>
          <w:rFonts w:ascii="Arial" w:hAnsi="Arial" w:cs="Arial"/>
          <w:szCs w:val="24"/>
          <w:u w:val="single"/>
        </w:rPr>
        <w:t>15th</w:t>
      </w:r>
      <w:r w:rsidRPr="00F75E4B">
        <w:rPr>
          <w:rFonts w:ascii="Arial" w:hAnsi="Arial" w:cs="Arial"/>
          <w:szCs w:val="24"/>
        </w:rPr>
        <w:t xml:space="preserve"> of the month; or</w:t>
      </w:r>
    </w:p>
    <w:p w14:paraId="398EF601" w14:textId="77777777" w:rsidR="005F2A7D" w:rsidRPr="00F75E4B" w:rsidRDefault="005F2A7D" w:rsidP="005F2A7D">
      <w:pPr>
        <w:ind w:firstLine="720"/>
        <w:rPr>
          <w:rFonts w:ascii="Arial" w:hAnsi="Arial" w:cs="Arial"/>
          <w:szCs w:val="24"/>
        </w:rPr>
      </w:pPr>
      <w:r w:rsidRPr="00F75E4B">
        <w:rPr>
          <w:rFonts w:ascii="Arial" w:hAnsi="Arial" w:cs="Arial"/>
          <w:szCs w:val="24"/>
        </w:rPr>
        <w:t>(b) The first of the following month for actions occurring between the ((</w:t>
      </w:r>
      <w:r w:rsidRPr="00F75E4B">
        <w:rPr>
          <w:rFonts w:ascii="Arial" w:hAnsi="Arial" w:cs="Arial"/>
          <w:strike/>
          <w:szCs w:val="24"/>
        </w:rPr>
        <w:t>sixteenth</w:t>
      </w:r>
      <w:r w:rsidRPr="00F75E4B">
        <w:rPr>
          <w:rFonts w:ascii="Arial" w:hAnsi="Arial" w:cs="Arial"/>
          <w:szCs w:val="24"/>
        </w:rPr>
        <w:t xml:space="preserve">)) </w:t>
      </w:r>
      <w:r w:rsidRPr="00F75E4B">
        <w:rPr>
          <w:rFonts w:ascii="Arial" w:hAnsi="Arial" w:cs="Arial"/>
          <w:szCs w:val="24"/>
          <w:u w:val="single"/>
        </w:rPr>
        <w:t>16th</w:t>
      </w:r>
      <w:r w:rsidRPr="00F75E4B">
        <w:rPr>
          <w:rFonts w:ascii="Arial" w:hAnsi="Arial" w:cs="Arial"/>
          <w:szCs w:val="24"/>
        </w:rPr>
        <w:t xml:space="preserve"> and the end of the month.</w:t>
      </w:r>
    </w:p>
    <w:p w14:paraId="3C804A7F" w14:textId="77777777" w:rsidR="005F2A7D" w:rsidRPr="00F75E4B" w:rsidRDefault="005F2A7D" w:rsidP="005F2A7D">
      <w:pPr>
        <w:rPr>
          <w:rFonts w:ascii="Arial" w:hAnsi="Arial" w:cs="Arial"/>
          <w:szCs w:val="24"/>
        </w:rPr>
      </w:pPr>
    </w:p>
    <w:p w14:paraId="1EA01E76" w14:textId="080099C6" w:rsidR="005F2A7D" w:rsidRPr="00F75E4B" w:rsidRDefault="005F2A7D" w:rsidP="005F2A7D">
      <w:pPr>
        <w:rPr>
          <w:rFonts w:ascii="Arial" w:hAnsi="Arial" w:cs="Arial"/>
          <w:szCs w:val="24"/>
        </w:rPr>
      </w:pPr>
      <w:r w:rsidRPr="00F75E4B">
        <w:rPr>
          <w:rFonts w:ascii="Arial" w:hAnsi="Arial" w:cs="Arial"/>
          <w:szCs w:val="24"/>
          <w:u w:val="single"/>
        </w:rPr>
        <w:t>AMENDATORY SECTION</w:t>
      </w:r>
      <w:r w:rsidRPr="00F75E4B">
        <w:rPr>
          <w:rFonts w:ascii="Arial" w:hAnsi="Arial" w:cs="Arial"/>
          <w:szCs w:val="24"/>
        </w:rPr>
        <w:t> </w:t>
      </w:r>
    </w:p>
    <w:p w14:paraId="1C4AE11C" w14:textId="56D77798" w:rsidR="005F2A7D" w:rsidRPr="006049B8" w:rsidRDefault="005F2A7D" w:rsidP="006049B8">
      <w:pPr>
        <w:pStyle w:val="Heading3"/>
      </w:pPr>
      <w:r w:rsidRPr="006049B8">
        <w:t xml:space="preserve">WAC 357-28-088  If an employee transfers or demotes will the time spent at step L count towards the six years to qualify for step M in the new position?  </w:t>
      </w:r>
    </w:p>
    <w:p w14:paraId="7FAA9EBF" w14:textId="77777777" w:rsidR="005F2A7D" w:rsidRPr="00F75E4B" w:rsidRDefault="005F2A7D" w:rsidP="005F2A7D">
      <w:pPr>
        <w:rPr>
          <w:rFonts w:ascii="Arial" w:hAnsi="Arial" w:cs="Arial"/>
          <w:szCs w:val="24"/>
        </w:rPr>
      </w:pPr>
      <w:r w:rsidRPr="00F75E4B">
        <w:rPr>
          <w:rFonts w:ascii="Arial" w:hAnsi="Arial" w:cs="Arial"/>
          <w:szCs w:val="24"/>
        </w:rPr>
        <w:t>If an employee transfers to a position the time at step L in the previous position will count towards the six years to qualify for step M in the new position.</w:t>
      </w:r>
    </w:p>
    <w:p w14:paraId="4F9912B3" w14:textId="77777777" w:rsidR="005F2A7D" w:rsidRPr="00F75E4B" w:rsidRDefault="005F2A7D" w:rsidP="005F2A7D">
      <w:pPr>
        <w:ind w:firstLine="720"/>
        <w:rPr>
          <w:rFonts w:ascii="Arial" w:hAnsi="Arial" w:cs="Arial"/>
          <w:szCs w:val="24"/>
        </w:rPr>
      </w:pPr>
      <w:r w:rsidRPr="00F75E4B">
        <w:rPr>
          <w:rFonts w:ascii="Arial" w:hAnsi="Arial" w:cs="Arial"/>
          <w:szCs w:val="24"/>
        </w:rPr>
        <w:t xml:space="preserve">If an employee is demoted (voluntary or involuntary), the time at step L in the previous position will not count towards the six years to qualify for step M except </w:t>
      </w:r>
      <w:r w:rsidRPr="00F75E4B">
        <w:rPr>
          <w:rFonts w:ascii="Arial" w:hAnsi="Arial" w:cs="Arial"/>
          <w:szCs w:val="24"/>
          <w:u w:val="single"/>
        </w:rPr>
        <w:t>if the demotion is a result of a reasonable accommodation or due to layoff action</w:t>
      </w:r>
      <w:r w:rsidRPr="00F75E4B">
        <w:rPr>
          <w:rFonts w:ascii="Arial" w:hAnsi="Arial" w:cs="Arial"/>
          <w:szCs w:val="24"/>
        </w:rPr>
        <w:t xml:space="preserve"> in accordance with WAC 357-28-135((</w:t>
      </w:r>
      <w:r w:rsidRPr="00F75E4B">
        <w:rPr>
          <w:rFonts w:ascii="Arial" w:hAnsi="Arial" w:cs="Arial"/>
          <w:strike/>
          <w:szCs w:val="24"/>
        </w:rPr>
        <w:t>(2)</w:t>
      </w:r>
      <w:r w:rsidRPr="00F75E4B">
        <w:rPr>
          <w:rFonts w:ascii="Arial" w:hAnsi="Arial" w:cs="Arial"/>
          <w:szCs w:val="24"/>
        </w:rPr>
        <w:t xml:space="preserve">)) </w:t>
      </w:r>
      <w:r w:rsidRPr="00F75E4B">
        <w:rPr>
          <w:rFonts w:ascii="Arial" w:hAnsi="Arial" w:cs="Arial"/>
          <w:szCs w:val="24"/>
          <w:u w:val="single"/>
        </w:rPr>
        <w:t>(4)</w:t>
      </w:r>
      <w:r w:rsidRPr="00F75E4B">
        <w:rPr>
          <w:rFonts w:ascii="Arial" w:hAnsi="Arial" w:cs="Arial"/>
          <w:szCs w:val="24"/>
        </w:rPr>
        <w:t>.</w:t>
      </w:r>
    </w:p>
    <w:p w14:paraId="3E6F4D0C" w14:textId="77777777" w:rsidR="005F2A7D" w:rsidRPr="00F75E4B" w:rsidRDefault="005F2A7D" w:rsidP="005F2A7D">
      <w:pPr>
        <w:rPr>
          <w:rFonts w:ascii="Arial" w:hAnsi="Arial" w:cs="Arial"/>
          <w:szCs w:val="24"/>
        </w:rPr>
      </w:pPr>
    </w:p>
    <w:p w14:paraId="3DB4F6D1" w14:textId="51B730EA" w:rsidR="005F2A7D" w:rsidRPr="00184866" w:rsidRDefault="005F2A7D" w:rsidP="005F2A7D">
      <w:pPr>
        <w:rPr>
          <w:rFonts w:ascii="Arial" w:hAnsi="Arial" w:cs="Arial"/>
          <w:szCs w:val="24"/>
        </w:rPr>
      </w:pPr>
      <w:r w:rsidRPr="00F75E4B">
        <w:rPr>
          <w:rFonts w:ascii="Arial" w:hAnsi="Arial" w:cs="Arial"/>
          <w:szCs w:val="24"/>
          <w:u w:val="single"/>
        </w:rPr>
        <w:t>AMENDATORY SECTION</w:t>
      </w:r>
      <w:r w:rsidRPr="00F75E4B">
        <w:rPr>
          <w:rFonts w:ascii="Arial" w:hAnsi="Arial" w:cs="Arial"/>
          <w:szCs w:val="24"/>
        </w:rPr>
        <w:t> </w:t>
      </w:r>
    </w:p>
    <w:p w14:paraId="1CEC712A" w14:textId="3FCD8DB3" w:rsidR="005F2A7D" w:rsidRPr="00F75E4B" w:rsidRDefault="005F2A7D" w:rsidP="006049B8">
      <w:pPr>
        <w:pStyle w:val="Heading3"/>
      </w:pPr>
      <w:r w:rsidRPr="00F75E4B">
        <w:t xml:space="preserve">WAC 357-28-120  What is the base salary of an employee occupying a position that is reallocated to a class with the same or lower salary range?  </w:t>
      </w:r>
    </w:p>
    <w:p w14:paraId="35BE24D6" w14:textId="77777777" w:rsidR="005F2A7D" w:rsidRPr="00F75E4B" w:rsidRDefault="005F2A7D" w:rsidP="005F2A7D">
      <w:pPr>
        <w:rPr>
          <w:rFonts w:ascii="Arial" w:hAnsi="Arial" w:cs="Arial"/>
          <w:szCs w:val="24"/>
        </w:rPr>
      </w:pPr>
      <w:r w:rsidRPr="00F75E4B">
        <w:rPr>
          <w:rFonts w:ascii="Arial" w:hAnsi="Arial" w:cs="Arial"/>
          <w:szCs w:val="24"/>
        </w:rPr>
        <w:t>An employee occupying a position that is reallocated to a class with the same or lower salary range must be placed within the new salary range at an amount equal to ((</w:t>
      </w:r>
      <w:r w:rsidRPr="00F75E4B">
        <w:rPr>
          <w:rFonts w:ascii="Arial" w:hAnsi="Arial" w:cs="Arial"/>
          <w:strike/>
          <w:szCs w:val="24"/>
        </w:rPr>
        <w:t>his/her</w:t>
      </w:r>
      <w:r w:rsidRPr="00F75E4B">
        <w:rPr>
          <w:rFonts w:ascii="Arial" w:hAnsi="Arial" w:cs="Arial"/>
          <w:szCs w:val="24"/>
        </w:rPr>
        <w:t xml:space="preserve">)) </w:t>
      </w:r>
      <w:r w:rsidRPr="00F75E4B">
        <w:rPr>
          <w:rFonts w:ascii="Arial" w:hAnsi="Arial" w:cs="Arial"/>
          <w:szCs w:val="24"/>
          <w:u w:val="single"/>
        </w:rPr>
        <w:t>their</w:t>
      </w:r>
      <w:r w:rsidRPr="00F75E4B">
        <w:rPr>
          <w:rFonts w:ascii="Arial" w:hAnsi="Arial" w:cs="Arial"/>
          <w:szCs w:val="24"/>
        </w:rPr>
        <w:t xml:space="preserve"> previous base salary. If the previous base salary exceeds the new salary range, the employee's base salary must be set equal to step M of the salary range for the reallocated position. The employee's base salary may be set higher than step M </w:t>
      </w:r>
      <w:r w:rsidRPr="00F75E4B">
        <w:rPr>
          <w:rFonts w:ascii="Arial" w:hAnsi="Arial" w:cs="Arial"/>
          <w:szCs w:val="24"/>
          <w:u w:val="single"/>
        </w:rPr>
        <w:t>if allowed by the employer's salary determination policy,</w:t>
      </w:r>
      <w:r w:rsidRPr="00F75E4B">
        <w:rPr>
          <w:rFonts w:ascii="Arial" w:hAnsi="Arial" w:cs="Arial"/>
          <w:szCs w:val="24"/>
        </w:rPr>
        <w:t xml:space="preserve"> but not exceeding the previous base salary, ((</w:t>
      </w:r>
      <w:r w:rsidRPr="00F75E4B">
        <w:rPr>
          <w:rFonts w:ascii="Arial" w:hAnsi="Arial" w:cs="Arial"/>
          <w:strike/>
          <w:szCs w:val="24"/>
        </w:rPr>
        <w:t>if allowed by the employer's salary determination policy</w:t>
      </w:r>
      <w:r w:rsidRPr="00F75E4B">
        <w:rPr>
          <w:rFonts w:ascii="Arial" w:hAnsi="Arial" w:cs="Arial"/>
          <w:szCs w:val="24"/>
        </w:rPr>
        <w:t xml:space="preserve">)) </w:t>
      </w:r>
      <w:r w:rsidRPr="00F75E4B">
        <w:rPr>
          <w:rFonts w:ascii="Arial" w:hAnsi="Arial" w:cs="Arial"/>
          <w:szCs w:val="24"/>
          <w:u w:val="single"/>
        </w:rPr>
        <w:t>until such time as the employee vacates the position or their salary falls within the new salary range</w:t>
      </w:r>
      <w:r w:rsidRPr="00F75E4B">
        <w:rPr>
          <w:rFonts w:ascii="Arial" w:hAnsi="Arial" w:cs="Arial"/>
          <w:szCs w:val="24"/>
        </w:rPr>
        <w:t>.</w:t>
      </w:r>
    </w:p>
    <w:p w14:paraId="5A97F1A5" w14:textId="77777777" w:rsidR="005F2A7D" w:rsidRPr="00F75E4B" w:rsidRDefault="005F2A7D" w:rsidP="005F2A7D">
      <w:pPr>
        <w:rPr>
          <w:rFonts w:ascii="Arial" w:hAnsi="Arial" w:cs="Arial"/>
          <w:szCs w:val="24"/>
        </w:rPr>
      </w:pPr>
    </w:p>
    <w:p w14:paraId="28DF4A33" w14:textId="146284C3" w:rsidR="005F2A7D" w:rsidRPr="00184866" w:rsidRDefault="005F2A7D" w:rsidP="005F2A7D">
      <w:pPr>
        <w:rPr>
          <w:rFonts w:ascii="Arial" w:hAnsi="Arial" w:cs="Arial"/>
          <w:szCs w:val="24"/>
        </w:rPr>
      </w:pPr>
      <w:r w:rsidRPr="00F75E4B">
        <w:rPr>
          <w:rFonts w:ascii="Arial" w:hAnsi="Arial" w:cs="Arial"/>
          <w:szCs w:val="24"/>
          <w:u w:val="single"/>
        </w:rPr>
        <w:t>AMENDATORY SECTION</w:t>
      </w:r>
    </w:p>
    <w:p w14:paraId="22846FB6" w14:textId="45D0DAF0" w:rsidR="005F2A7D" w:rsidRPr="00F75E4B" w:rsidRDefault="005F2A7D" w:rsidP="006049B8">
      <w:pPr>
        <w:pStyle w:val="Heading3"/>
      </w:pPr>
      <w:r w:rsidRPr="00F75E4B">
        <w:t xml:space="preserve">WAC 357-28-135  How is an employee's salary determined when the employee is appointed to a position due to a layoff action?  </w:t>
      </w:r>
    </w:p>
    <w:p w14:paraId="4DBE6159" w14:textId="77777777" w:rsidR="005F2A7D" w:rsidRPr="00F75E4B" w:rsidRDefault="005F2A7D" w:rsidP="005F2A7D">
      <w:pPr>
        <w:rPr>
          <w:rFonts w:ascii="Arial" w:hAnsi="Arial" w:cs="Arial"/>
          <w:szCs w:val="24"/>
        </w:rPr>
      </w:pPr>
      <w:r w:rsidRPr="00F75E4B">
        <w:rPr>
          <w:rFonts w:ascii="Arial" w:hAnsi="Arial" w:cs="Arial"/>
          <w:szCs w:val="24"/>
          <w:u w:val="single"/>
        </w:rPr>
        <w:lastRenderedPageBreak/>
        <w:t>(1)</w:t>
      </w:r>
      <w:r w:rsidRPr="00F75E4B">
        <w:rPr>
          <w:rFonts w:ascii="Arial" w:hAnsi="Arial" w:cs="Arial"/>
          <w:szCs w:val="24"/>
        </w:rPr>
        <w:t xml:space="preserve"> The base salary of an employee ((</w:t>
      </w:r>
      <w:r w:rsidRPr="00F75E4B">
        <w:rPr>
          <w:rFonts w:ascii="Arial" w:hAnsi="Arial" w:cs="Arial"/>
          <w:strike/>
          <w:szCs w:val="24"/>
        </w:rPr>
        <w:t>appointed to a position due to a layoff action must be</w:t>
      </w:r>
      <w:r w:rsidRPr="00F75E4B">
        <w:rPr>
          <w:rFonts w:ascii="Arial" w:hAnsi="Arial" w:cs="Arial"/>
          <w:szCs w:val="24"/>
        </w:rPr>
        <w:t xml:space="preserve">)) </w:t>
      </w:r>
      <w:r w:rsidRPr="00F75E4B">
        <w:rPr>
          <w:rFonts w:ascii="Arial" w:hAnsi="Arial" w:cs="Arial"/>
          <w:szCs w:val="24"/>
          <w:u w:val="single"/>
        </w:rPr>
        <w:t>who accepts a layoff option must have their salary</w:t>
      </w:r>
      <w:r w:rsidRPr="00F75E4B">
        <w:rPr>
          <w:rFonts w:ascii="Arial" w:hAnsi="Arial" w:cs="Arial"/>
          <w:szCs w:val="24"/>
        </w:rPr>
        <w:t xml:space="preserve"> determined as follows:</w:t>
      </w:r>
    </w:p>
    <w:p w14:paraId="1BA97112" w14:textId="77777777" w:rsidR="005F2A7D" w:rsidRPr="00F75E4B" w:rsidRDefault="005F2A7D" w:rsidP="005F2A7D">
      <w:pPr>
        <w:ind w:firstLine="720"/>
        <w:rPr>
          <w:rFonts w:ascii="Arial" w:hAnsi="Arial" w:cs="Arial"/>
          <w:szCs w:val="24"/>
        </w:rPr>
      </w:pPr>
      <w:r w:rsidRPr="00F75E4B">
        <w:rPr>
          <w:rFonts w:ascii="Arial" w:hAnsi="Arial" w:cs="Arial"/>
          <w:szCs w:val="24"/>
        </w:rPr>
        <w:t>((</w:t>
      </w:r>
      <w:r w:rsidRPr="00F75E4B">
        <w:rPr>
          <w:rFonts w:ascii="Arial" w:hAnsi="Arial" w:cs="Arial"/>
          <w:strike/>
          <w:szCs w:val="24"/>
        </w:rPr>
        <w:t>(1)</w:t>
      </w:r>
      <w:r w:rsidRPr="00F75E4B">
        <w:rPr>
          <w:rFonts w:ascii="Arial" w:hAnsi="Arial" w:cs="Arial"/>
          <w:szCs w:val="24"/>
        </w:rPr>
        <w:t xml:space="preserve">)) </w:t>
      </w:r>
      <w:r w:rsidRPr="00F75E4B">
        <w:rPr>
          <w:rFonts w:ascii="Arial" w:hAnsi="Arial" w:cs="Arial"/>
          <w:szCs w:val="24"/>
          <w:u w:val="single"/>
        </w:rPr>
        <w:t>(a)</w:t>
      </w:r>
      <w:r w:rsidRPr="00F75E4B">
        <w:rPr>
          <w:rFonts w:ascii="Arial" w:hAnsi="Arial" w:cs="Arial"/>
          <w:szCs w:val="24"/>
        </w:rPr>
        <w:t xml:space="preserve"> An employee who accepts a layoff option to a different position with the same salary range keeps the same base salary.</w:t>
      </w:r>
    </w:p>
    <w:p w14:paraId="4E637BEE" w14:textId="77777777" w:rsidR="005F2A7D" w:rsidRPr="00F75E4B" w:rsidRDefault="005F2A7D" w:rsidP="005F2A7D">
      <w:pPr>
        <w:ind w:firstLine="720"/>
        <w:rPr>
          <w:rFonts w:ascii="Arial" w:hAnsi="Arial" w:cs="Arial"/>
          <w:szCs w:val="24"/>
        </w:rPr>
      </w:pPr>
      <w:r w:rsidRPr="00F75E4B">
        <w:rPr>
          <w:rFonts w:ascii="Arial" w:hAnsi="Arial" w:cs="Arial"/>
          <w:szCs w:val="24"/>
        </w:rPr>
        <w:t>((</w:t>
      </w:r>
      <w:r w:rsidRPr="00F75E4B">
        <w:rPr>
          <w:rFonts w:ascii="Arial" w:hAnsi="Arial" w:cs="Arial"/>
          <w:strike/>
          <w:szCs w:val="24"/>
        </w:rPr>
        <w:t>(2)</w:t>
      </w:r>
      <w:r w:rsidRPr="00F75E4B">
        <w:rPr>
          <w:rFonts w:ascii="Arial" w:hAnsi="Arial" w:cs="Arial"/>
          <w:szCs w:val="24"/>
        </w:rPr>
        <w:t xml:space="preserve">)) </w:t>
      </w:r>
      <w:r w:rsidRPr="00F75E4B">
        <w:rPr>
          <w:rFonts w:ascii="Arial" w:hAnsi="Arial" w:cs="Arial"/>
          <w:szCs w:val="24"/>
          <w:u w:val="single"/>
        </w:rPr>
        <w:t>(b)</w:t>
      </w:r>
      <w:r w:rsidRPr="00F75E4B">
        <w:rPr>
          <w:rFonts w:ascii="Arial" w:hAnsi="Arial" w:cs="Arial"/>
          <w:szCs w:val="24"/>
        </w:rPr>
        <w:t xml:space="preserve"> An employee who ((</w:t>
      </w:r>
      <w:r w:rsidRPr="00F75E4B">
        <w:rPr>
          <w:rFonts w:ascii="Arial" w:hAnsi="Arial" w:cs="Arial"/>
          <w:strike/>
          <w:szCs w:val="24"/>
        </w:rPr>
        <w:t>accepts a demotion in lieu of layoff or</w:t>
      </w:r>
      <w:r w:rsidRPr="00F75E4B">
        <w:rPr>
          <w:rFonts w:ascii="Arial" w:hAnsi="Arial" w:cs="Arial"/>
          <w:szCs w:val="24"/>
        </w:rPr>
        <w:t>)) accepts a layoff option to a position with a lower salary range maximum must be placed within the new range at a salary equal to the employee's previous base salary. If the previous base salary exceeds the new range, the employee's base salary must be set equal to step M of the new salary range((</w:t>
      </w:r>
      <w:r w:rsidRPr="00F75E4B">
        <w:rPr>
          <w:rFonts w:ascii="Arial" w:hAnsi="Arial" w:cs="Arial"/>
          <w:strike/>
          <w:szCs w:val="24"/>
        </w:rPr>
        <w:t>. If the employee's previous base salary was at step M of the salary range the employee must be placed at step M of the new salary range</w:t>
      </w:r>
      <w:r w:rsidRPr="00F75E4B">
        <w:rPr>
          <w:rFonts w:ascii="Arial" w:hAnsi="Arial" w:cs="Arial"/>
          <w:szCs w:val="24"/>
        </w:rPr>
        <w:t>)).</w:t>
      </w:r>
    </w:p>
    <w:p w14:paraId="599642BC" w14:textId="77777777" w:rsidR="005F2A7D" w:rsidRPr="00F75E4B" w:rsidRDefault="005F2A7D" w:rsidP="005F2A7D">
      <w:pPr>
        <w:ind w:firstLine="720"/>
        <w:rPr>
          <w:rFonts w:ascii="Arial" w:hAnsi="Arial" w:cs="Arial"/>
          <w:szCs w:val="24"/>
        </w:rPr>
      </w:pPr>
      <w:r w:rsidRPr="00F75E4B">
        <w:rPr>
          <w:rFonts w:ascii="Arial" w:hAnsi="Arial" w:cs="Arial"/>
          <w:szCs w:val="24"/>
        </w:rPr>
        <w:t>((</w:t>
      </w:r>
      <w:r w:rsidRPr="00F75E4B">
        <w:rPr>
          <w:rFonts w:ascii="Arial" w:hAnsi="Arial" w:cs="Arial"/>
          <w:strike/>
          <w:szCs w:val="24"/>
        </w:rPr>
        <w:t>(3)</w:t>
      </w:r>
      <w:r w:rsidRPr="00F75E4B">
        <w:rPr>
          <w:rFonts w:ascii="Arial" w:hAnsi="Arial" w:cs="Arial"/>
          <w:szCs w:val="24"/>
        </w:rPr>
        <w:t xml:space="preserve">)) </w:t>
      </w:r>
      <w:r w:rsidRPr="00F75E4B">
        <w:rPr>
          <w:rFonts w:ascii="Arial" w:hAnsi="Arial" w:cs="Arial"/>
          <w:szCs w:val="24"/>
          <w:u w:val="single"/>
        </w:rPr>
        <w:t>(2) The base salary of a</w:t>
      </w:r>
      <w:r w:rsidRPr="00F75E4B">
        <w:rPr>
          <w:rFonts w:ascii="Arial" w:hAnsi="Arial" w:cs="Arial"/>
          <w:szCs w:val="24"/>
        </w:rPr>
        <w:t xml:space="preserve">n employee who is appointed from an internal or statewide layoff list </w:t>
      </w:r>
      <w:r w:rsidRPr="00F75E4B">
        <w:rPr>
          <w:rFonts w:ascii="Arial" w:hAnsi="Arial" w:cs="Arial"/>
          <w:szCs w:val="24"/>
          <w:u w:val="single"/>
        </w:rPr>
        <w:t>must have their salary determined as follows:</w:t>
      </w:r>
    </w:p>
    <w:p w14:paraId="748B0800" w14:textId="77777777" w:rsidR="005F2A7D" w:rsidRPr="00F75E4B" w:rsidRDefault="005F2A7D" w:rsidP="005F2A7D">
      <w:pPr>
        <w:ind w:firstLine="720"/>
        <w:rPr>
          <w:rFonts w:ascii="Arial" w:hAnsi="Arial" w:cs="Arial"/>
          <w:szCs w:val="24"/>
        </w:rPr>
      </w:pPr>
      <w:r w:rsidRPr="00F75E4B">
        <w:rPr>
          <w:rFonts w:ascii="Arial" w:hAnsi="Arial" w:cs="Arial"/>
          <w:szCs w:val="24"/>
          <w:u w:val="single"/>
        </w:rPr>
        <w:t>(a) An employee who is appointed</w:t>
      </w:r>
      <w:r w:rsidRPr="00F75E4B">
        <w:rPr>
          <w:rFonts w:ascii="Arial" w:hAnsi="Arial" w:cs="Arial"/>
          <w:szCs w:val="24"/>
        </w:rPr>
        <w:t xml:space="preserve"> to a position with the same range as the position from which the employee was laid off must be placed within the range at a salary equal to the employee's previous base salary.</w:t>
      </w:r>
    </w:p>
    <w:p w14:paraId="14BEE2CF" w14:textId="77777777" w:rsidR="005F2A7D" w:rsidRPr="00F75E4B" w:rsidRDefault="005F2A7D" w:rsidP="005F2A7D">
      <w:pPr>
        <w:ind w:firstLine="720"/>
        <w:rPr>
          <w:rFonts w:ascii="Arial" w:hAnsi="Arial" w:cs="Arial"/>
          <w:szCs w:val="24"/>
        </w:rPr>
      </w:pPr>
      <w:r w:rsidRPr="00F75E4B">
        <w:rPr>
          <w:rFonts w:ascii="Arial" w:hAnsi="Arial" w:cs="Arial"/>
          <w:szCs w:val="24"/>
        </w:rPr>
        <w:t>((</w:t>
      </w:r>
      <w:r w:rsidRPr="00F75E4B">
        <w:rPr>
          <w:rFonts w:ascii="Arial" w:hAnsi="Arial" w:cs="Arial"/>
          <w:strike/>
          <w:szCs w:val="24"/>
        </w:rPr>
        <w:t>(4)</w:t>
      </w:r>
      <w:r w:rsidRPr="00F75E4B">
        <w:rPr>
          <w:rFonts w:ascii="Arial" w:hAnsi="Arial" w:cs="Arial"/>
          <w:szCs w:val="24"/>
        </w:rPr>
        <w:t xml:space="preserve">)) </w:t>
      </w:r>
      <w:r w:rsidRPr="00F75E4B">
        <w:rPr>
          <w:rFonts w:ascii="Arial" w:hAnsi="Arial" w:cs="Arial"/>
          <w:szCs w:val="24"/>
          <w:u w:val="single"/>
        </w:rPr>
        <w:t>(b)</w:t>
      </w:r>
      <w:r w:rsidRPr="00F75E4B">
        <w:rPr>
          <w:rFonts w:ascii="Arial" w:hAnsi="Arial" w:cs="Arial"/>
          <w:szCs w:val="24"/>
        </w:rPr>
        <w:t xml:space="preserve"> An employee who is appointed ((</w:t>
      </w:r>
      <w:r w:rsidRPr="00F75E4B">
        <w:rPr>
          <w:rFonts w:ascii="Arial" w:hAnsi="Arial" w:cs="Arial"/>
          <w:strike/>
          <w:szCs w:val="24"/>
        </w:rPr>
        <w:t>from an internal or statewide layoff list</w:t>
      </w:r>
      <w:r w:rsidRPr="00F75E4B">
        <w:rPr>
          <w:rFonts w:ascii="Arial" w:hAnsi="Arial" w:cs="Arial"/>
          <w:szCs w:val="24"/>
        </w:rPr>
        <w:t>)) to a position with a lower range maximum than the position from which the employee was laid off must have the salary determined by the employer's salary determination policy.</w:t>
      </w:r>
    </w:p>
    <w:p w14:paraId="7A0FEDF2" w14:textId="77777777" w:rsidR="005F2A7D" w:rsidRPr="00F75E4B" w:rsidRDefault="005F2A7D" w:rsidP="005F2A7D">
      <w:pPr>
        <w:ind w:firstLine="720"/>
        <w:rPr>
          <w:rFonts w:ascii="Arial" w:hAnsi="Arial" w:cs="Arial"/>
          <w:szCs w:val="24"/>
        </w:rPr>
      </w:pPr>
      <w:r w:rsidRPr="00F75E4B">
        <w:rPr>
          <w:rFonts w:ascii="Arial" w:hAnsi="Arial" w:cs="Arial"/>
          <w:szCs w:val="24"/>
          <w:u w:val="single"/>
        </w:rPr>
        <w:t>(3) An employee whose previous base salary was at step M of a salary range when accepting a layoff option to a position with a lower salary range maximum at the time of being appointed must be placed at step M of the new salary range.</w:t>
      </w:r>
    </w:p>
    <w:p w14:paraId="50285972" w14:textId="77777777" w:rsidR="005F2A7D" w:rsidRPr="00F75E4B" w:rsidRDefault="005F2A7D" w:rsidP="005F2A7D">
      <w:pPr>
        <w:ind w:firstLine="720"/>
        <w:rPr>
          <w:rFonts w:ascii="Arial" w:hAnsi="Arial" w:cs="Arial"/>
          <w:szCs w:val="24"/>
        </w:rPr>
      </w:pPr>
      <w:r w:rsidRPr="00F75E4B">
        <w:rPr>
          <w:rFonts w:ascii="Arial" w:hAnsi="Arial" w:cs="Arial"/>
          <w:szCs w:val="24"/>
          <w:u w:val="single"/>
        </w:rPr>
        <w:t>(4) An employee whose previous base salary was at step L of a salary range when accepting a layoff option to a position with a lower salary range, any previous time spent at step L will count towards the requirement to get to step M of the new salary range.</w:t>
      </w:r>
    </w:p>
    <w:p w14:paraId="2C4FA8B3" w14:textId="77777777" w:rsidR="00FE6771" w:rsidRPr="00F75E4B" w:rsidRDefault="00FE6771" w:rsidP="005F2A7D">
      <w:pPr>
        <w:rPr>
          <w:rFonts w:ascii="Arial" w:hAnsi="Arial" w:cs="Arial"/>
          <w:szCs w:val="24"/>
        </w:rPr>
      </w:pPr>
    </w:p>
    <w:p w14:paraId="5261F708" w14:textId="3F10F0D7" w:rsidR="005F2A7D" w:rsidRPr="00F75E4B" w:rsidRDefault="005F2A7D" w:rsidP="005F2A7D">
      <w:pPr>
        <w:rPr>
          <w:rFonts w:ascii="Arial" w:hAnsi="Arial" w:cs="Arial"/>
          <w:szCs w:val="24"/>
        </w:rPr>
      </w:pPr>
      <w:r w:rsidRPr="00F75E4B">
        <w:rPr>
          <w:rFonts w:ascii="Arial" w:hAnsi="Arial" w:cs="Arial"/>
          <w:szCs w:val="24"/>
          <w:u w:val="single"/>
        </w:rPr>
        <w:t>AMENDATORY SECTION</w:t>
      </w:r>
      <w:r w:rsidRPr="00F75E4B">
        <w:rPr>
          <w:rFonts w:ascii="Arial" w:hAnsi="Arial" w:cs="Arial"/>
          <w:szCs w:val="24"/>
        </w:rPr>
        <w:t> </w:t>
      </w:r>
    </w:p>
    <w:p w14:paraId="512F121A" w14:textId="2B840FFC" w:rsidR="005F2A7D" w:rsidRPr="00F75E4B" w:rsidRDefault="005F2A7D" w:rsidP="006049B8">
      <w:pPr>
        <w:pStyle w:val="Heading3"/>
      </w:pPr>
      <w:r w:rsidRPr="00F75E4B">
        <w:t xml:space="preserve">WAC 357-28-155  How is an employee's salary determined upon demotion?  </w:t>
      </w:r>
    </w:p>
    <w:p w14:paraId="15D63E6C" w14:textId="77777777" w:rsidR="005F2A7D" w:rsidRPr="00F75E4B" w:rsidRDefault="005F2A7D" w:rsidP="005F2A7D">
      <w:pPr>
        <w:rPr>
          <w:rFonts w:ascii="Arial" w:hAnsi="Arial" w:cs="Arial"/>
          <w:szCs w:val="24"/>
        </w:rPr>
      </w:pPr>
      <w:r w:rsidRPr="00F75E4B">
        <w:rPr>
          <w:rFonts w:ascii="Arial" w:hAnsi="Arial" w:cs="Arial"/>
          <w:szCs w:val="24"/>
        </w:rPr>
        <w:t>(1) The base salary of an employee who accepts a demotion in lieu of layoff must be set in accordance with WAC 357-28-135.</w:t>
      </w:r>
    </w:p>
    <w:p w14:paraId="572579F1" w14:textId="77777777" w:rsidR="005F2A7D" w:rsidRPr="00F75E4B" w:rsidRDefault="005F2A7D" w:rsidP="005F2A7D">
      <w:pPr>
        <w:ind w:firstLine="720"/>
        <w:rPr>
          <w:rFonts w:ascii="Arial" w:hAnsi="Arial" w:cs="Arial"/>
          <w:szCs w:val="24"/>
        </w:rPr>
      </w:pPr>
      <w:r w:rsidRPr="00F75E4B">
        <w:rPr>
          <w:rFonts w:ascii="Arial" w:hAnsi="Arial" w:cs="Arial"/>
          <w:szCs w:val="24"/>
        </w:rPr>
        <w:t xml:space="preserve">(2) </w:t>
      </w:r>
      <w:r w:rsidRPr="00F75E4B">
        <w:rPr>
          <w:rFonts w:ascii="Arial" w:hAnsi="Arial" w:cs="Arial"/>
          <w:szCs w:val="24"/>
          <w:u w:val="single"/>
        </w:rPr>
        <w:t>If the demotion is a result of a reasonable accommodation, they may be appointed to step M in accordance with WAC 357-28-084.</w:t>
      </w:r>
    </w:p>
    <w:p w14:paraId="5C477464" w14:textId="17C11F22" w:rsidR="005F2A7D" w:rsidRPr="004001E1" w:rsidRDefault="005F2A7D" w:rsidP="00C3631E">
      <w:pPr>
        <w:ind w:firstLine="720"/>
        <w:rPr>
          <w:rFonts w:ascii="Arial" w:hAnsi="Arial" w:cs="Arial"/>
          <w:szCs w:val="24"/>
        </w:rPr>
      </w:pPr>
      <w:r w:rsidRPr="00F75E4B">
        <w:rPr>
          <w:rFonts w:ascii="Arial" w:hAnsi="Arial" w:cs="Arial"/>
          <w:szCs w:val="24"/>
          <w:u w:val="single"/>
        </w:rPr>
        <w:t>(3)</w:t>
      </w:r>
      <w:r w:rsidRPr="00F75E4B">
        <w:rPr>
          <w:rFonts w:ascii="Arial" w:hAnsi="Arial" w:cs="Arial"/>
          <w:szCs w:val="24"/>
        </w:rPr>
        <w:t xml:space="preserve"> An employee demoted for any other reason must be paid within the salary range of the class to which the position is allocated. The employee's base salary must be determined in accordance with the employer's salary determination policy.</w:t>
      </w:r>
    </w:p>
    <w:p w14:paraId="215FC09E" w14:textId="67E73739" w:rsidR="00C3631E" w:rsidRDefault="00C3631E" w:rsidP="00F66F77">
      <w:pPr>
        <w:pStyle w:val="Heading1"/>
        <w:spacing w:before="0" w:line="240" w:lineRule="auto"/>
      </w:pPr>
      <w:r w:rsidRPr="00184866">
        <w:t>Item #</w:t>
      </w:r>
      <w:r w:rsidR="004668B3">
        <w:t>8</w:t>
      </w:r>
      <w:r w:rsidRPr="00184866">
        <w:t xml:space="preserve"> – </w:t>
      </w:r>
      <w:r w:rsidRPr="00C3631E">
        <w:t>Pregnancy Disability and Parental Leave - Cleanup Items</w:t>
      </w:r>
    </w:p>
    <w:p w14:paraId="63DFC376" w14:textId="77777777" w:rsidR="00F66F77" w:rsidRPr="00F66F77" w:rsidRDefault="00F66F77" w:rsidP="00F66F77">
      <w:pPr>
        <w:spacing w:after="0"/>
      </w:pPr>
    </w:p>
    <w:p w14:paraId="5CCEEB92" w14:textId="0DBE336D" w:rsidR="00F75E4B" w:rsidRDefault="00C3631E" w:rsidP="00F66F77">
      <w:pPr>
        <w:spacing w:after="0" w:line="240" w:lineRule="auto"/>
      </w:pPr>
      <w:r w:rsidRPr="00BB4124">
        <w:rPr>
          <w:rFonts w:ascii="Arial" w:hAnsi="Arial" w:cs="Arial"/>
          <w:b/>
          <w:u w:val="single"/>
        </w:rPr>
        <w:t>Staff note:</w:t>
      </w:r>
      <w:r>
        <w:rPr>
          <w:rFonts w:ascii="Arial" w:hAnsi="Arial" w:cs="Arial"/>
          <w:bCs/>
        </w:rPr>
        <w:t xml:space="preserve">  </w:t>
      </w:r>
    </w:p>
    <w:p w14:paraId="6C742B23" w14:textId="77777777" w:rsidR="00F75E4B" w:rsidRPr="005F2A7D" w:rsidRDefault="00F75E4B" w:rsidP="00F66F77">
      <w:pPr>
        <w:pStyle w:val="ListParagraph"/>
        <w:numPr>
          <w:ilvl w:val="0"/>
          <w:numId w:val="15"/>
        </w:numPr>
        <w:spacing w:line="240" w:lineRule="auto"/>
        <w:rPr>
          <w:rFonts w:ascii="Arial" w:hAnsi="Arial" w:cs="Arial"/>
          <w:bCs/>
        </w:rPr>
      </w:pPr>
      <w:r w:rsidRPr="005F2A7D">
        <w:rPr>
          <w:rFonts w:ascii="Arial" w:hAnsi="Arial" w:cs="Arial"/>
          <w:bCs/>
        </w:rPr>
        <w:lastRenderedPageBreak/>
        <w:t xml:space="preserve">Amend WAC 357-31-480 to update the correct reference from RCW 49.78.390 to RCW 50A.15.110. RCW 49.78.390 was repealed in 2018 therefore is no longer applicable. Parental leave is in addition to any leave for sickness or temporary disability as provided under the Federal Family and Medical Leave Act of 1993 and the Washington Paid Family and Medical Leave Act. </w:t>
      </w:r>
    </w:p>
    <w:p w14:paraId="0CFE901B" w14:textId="388261CA" w:rsidR="00F75E4B" w:rsidRDefault="00F75E4B" w:rsidP="005F2A7D">
      <w:pPr>
        <w:pStyle w:val="ListParagraph"/>
        <w:numPr>
          <w:ilvl w:val="0"/>
          <w:numId w:val="15"/>
        </w:numPr>
        <w:rPr>
          <w:rFonts w:ascii="Arial" w:hAnsi="Arial" w:cs="Arial"/>
          <w:bCs/>
        </w:rPr>
      </w:pPr>
      <w:r w:rsidRPr="005F2A7D">
        <w:rPr>
          <w:rFonts w:ascii="Arial" w:hAnsi="Arial" w:cs="Arial"/>
          <w:bCs/>
        </w:rPr>
        <w:t>Amend WAC 357-31-500 to remove the term “permanent”. Under Washington State Law Against Discrimination (Chapter 49.60 RCW) and</w:t>
      </w:r>
      <w:r w:rsidRPr="005F2A7D">
        <w:rPr>
          <w:rFonts w:ascii="Arial" w:hAnsi="Arial" w:cs="Arial"/>
        </w:rPr>
        <w:t xml:space="preserve"> </w:t>
      </w:r>
      <w:r w:rsidRPr="005F2A7D">
        <w:rPr>
          <w:rFonts w:ascii="Arial" w:hAnsi="Arial" w:cs="Arial"/>
          <w:bCs/>
        </w:rPr>
        <w:t>Title VII of the Civil Rights Act of 1964 or the Pregnancy Discrimination Act. An employee does not have to hold permanent status to qualify for a leave of absence for reasons of pregnancy disability and childbirth. Prior to Civil Service Reform, Disability Leave was addressed under Higher Education, Title 251 WAC and not under General Government Title 356 WAC. The current language in WAC 357-31-500 stemmed from the former language in the higher education rules, Title 251 WAC.</w:t>
      </w:r>
    </w:p>
    <w:p w14:paraId="4316961C" w14:textId="19324909" w:rsidR="00403459" w:rsidRDefault="00870E8F" w:rsidP="00403459">
      <w:pPr>
        <w:spacing w:after="0"/>
        <w:rPr>
          <w:rFonts w:ascii="Arial" w:hAnsi="Arial" w:cs="Arial"/>
        </w:rPr>
      </w:pPr>
      <w:r>
        <w:rPr>
          <w:rFonts w:ascii="Arial" w:hAnsi="Arial" w:cs="Arial"/>
        </w:rPr>
        <w:t xml:space="preserve">We are planning to propose permanent adoption at the November 14, 2023, Director’s meeting. </w:t>
      </w:r>
      <w:r w:rsidR="00403459" w:rsidRPr="0048107C">
        <w:rPr>
          <w:rFonts w:ascii="Arial" w:hAnsi="Arial" w:cs="Arial"/>
        </w:rPr>
        <w:t xml:space="preserve">Lead:  Patricia Foshaug </w:t>
      </w:r>
    </w:p>
    <w:p w14:paraId="13DEB3C7" w14:textId="77777777" w:rsidR="00403459" w:rsidRDefault="00403459" w:rsidP="00F66F77">
      <w:pPr>
        <w:spacing w:after="0"/>
        <w:rPr>
          <w:rFonts w:ascii="Arial" w:hAnsi="Arial" w:cs="Arial"/>
          <w:bCs/>
        </w:rPr>
      </w:pPr>
    </w:p>
    <w:p w14:paraId="5AF7B34B" w14:textId="77777777" w:rsidR="00F66F77" w:rsidRPr="00403459" w:rsidRDefault="00F66F77" w:rsidP="00F66F77">
      <w:pPr>
        <w:spacing w:after="0"/>
        <w:rPr>
          <w:rFonts w:ascii="Arial" w:hAnsi="Arial" w:cs="Arial"/>
          <w:bCs/>
        </w:rPr>
      </w:pPr>
    </w:p>
    <w:p w14:paraId="2EAFB3F4" w14:textId="77777777" w:rsidR="00F75E4B" w:rsidRPr="00F75E4B" w:rsidRDefault="00F75E4B" w:rsidP="00F66F77">
      <w:pPr>
        <w:spacing w:after="0"/>
        <w:rPr>
          <w:rFonts w:ascii="Arial" w:hAnsi="Arial" w:cs="Arial"/>
          <w:szCs w:val="24"/>
        </w:rPr>
      </w:pPr>
      <w:r w:rsidRPr="00F75E4B">
        <w:rPr>
          <w:rFonts w:ascii="Arial" w:hAnsi="Arial" w:cs="Arial"/>
          <w:szCs w:val="24"/>
          <w:u w:val="single"/>
        </w:rPr>
        <w:t>AMENDATORY SECTION</w:t>
      </w:r>
      <w:r w:rsidRPr="00F75E4B">
        <w:rPr>
          <w:rFonts w:ascii="Arial" w:hAnsi="Arial" w:cs="Arial"/>
          <w:szCs w:val="24"/>
        </w:rPr>
        <w:t> </w:t>
      </w:r>
    </w:p>
    <w:p w14:paraId="2597669E" w14:textId="77777777" w:rsidR="00F75E4B" w:rsidRPr="00F75E4B" w:rsidRDefault="00F75E4B" w:rsidP="006049B8">
      <w:pPr>
        <w:pStyle w:val="Heading3"/>
      </w:pPr>
      <w:r w:rsidRPr="00F75E4B">
        <w:t xml:space="preserve">WAC 357-31-480  Is parental leave in addition to any leave for sickness or temporary disability because of pregnancy and/or childbirth?  </w:t>
      </w:r>
    </w:p>
    <w:p w14:paraId="3C48801C" w14:textId="77777777" w:rsidR="00F75E4B" w:rsidRPr="00F75E4B" w:rsidRDefault="00F75E4B" w:rsidP="00F75E4B">
      <w:pPr>
        <w:rPr>
          <w:rFonts w:ascii="Arial" w:hAnsi="Arial" w:cs="Arial"/>
          <w:szCs w:val="24"/>
        </w:rPr>
      </w:pPr>
      <w:r w:rsidRPr="00F75E4B">
        <w:rPr>
          <w:rFonts w:ascii="Arial" w:hAnsi="Arial" w:cs="Arial"/>
          <w:szCs w:val="24"/>
        </w:rPr>
        <w:t>((</w:t>
      </w:r>
      <w:r w:rsidRPr="00F75E4B">
        <w:rPr>
          <w:rFonts w:ascii="Arial" w:hAnsi="Arial" w:cs="Arial"/>
          <w:strike/>
          <w:szCs w:val="24"/>
        </w:rPr>
        <w:t>Under RCW 49.78.390,</w:t>
      </w:r>
      <w:r w:rsidRPr="00F75E4B">
        <w:rPr>
          <w:rFonts w:ascii="Arial" w:hAnsi="Arial" w:cs="Arial"/>
          <w:szCs w:val="24"/>
        </w:rPr>
        <w:t xml:space="preserve">)) </w:t>
      </w:r>
      <w:r w:rsidRPr="00F75E4B">
        <w:rPr>
          <w:rFonts w:ascii="Arial" w:hAnsi="Arial" w:cs="Arial"/>
          <w:szCs w:val="24"/>
          <w:u w:val="single"/>
        </w:rPr>
        <w:t>Consistent with RCW 50A.15.110, parental leave under Title 50A RCW and</w:t>
      </w:r>
      <w:r w:rsidRPr="00F75E4B">
        <w:rPr>
          <w:rFonts w:ascii="Arial" w:hAnsi="Arial" w:cs="Arial"/>
          <w:szCs w:val="24"/>
        </w:rPr>
        <w:t xml:space="preserve"> the family leave required by the Federal Family and Medical Leave Act of 1993 (Act Feb. 5, 1993, P.L. 103-3, 107 Stat. 6) must be in addition to any leave for sickness or temporary disability because of pregnancy or childbirth as provided in WAC 357-31-500.</w:t>
      </w:r>
    </w:p>
    <w:p w14:paraId="375B294D" w14:textId="77777777" w:rsidR="00FE6771" w:rsidRDefault="00FE6771" w:rsidP="00F75E4B">
      <w:pPr>
        <w:rPr>
          <w:rFonts w:ascii="Arial" w:hAnsi="Arial" w:cs="Arial"/>
          <w:szCs w:val="24"/>
          <w:u w:val="single"/>
        </w:rPr>
      </w:pPr>
    </w:p>
    <w:p w14:paraId="547FEFEE" w14:textId="4618900D" w:rsidR="00F75E4B" w:rsidRPr="00F75E4B" w:rsidRDefault="00F75E4B" w:rsidP="00F75E4B">
      <w:pPr>
        <w:rPr>
          <w:rFonts w:ascii="Arial" w:hAnsi="Arial" w:cs="Arial"/>
          <w:szCs w:val="24"/>
        </w:rPr>
      </w:pPr>
      <w:r w:rsidRPr="004001E1">
        <w:rPr>
          <w:rFonts w:ascii="Arial" w:hAnsi="Arial" w:cs="Arial"/>
          <w:szCs w:val="24"/>
          <w:u w:val="single"/>
        </w:rPr>
        <w:t>AMENDATORY SECTION</w:t>
      </w:r>
      <w:r w:rsidRPr="004001E1">
        <w:rPr>
          <w:rFonts w:ascii="Arial" w:hAnsi="Arial" w:cs="Arial"/>
          <w:szCs w:val="24"/>
        </w:rPr>
        <w:t> </w:t>
      </w:r>
    </w:p>
    <w:p w14:paraId="4B244F6F" w14:textId="77777777" w:rsidR="00F75E4B" w:rsidRPr="004001E1" w:rsidRDefault="00F75E4B" w:rsidP="006049B8">
      <w:pPr>
        <w:pStyle w:val="Heading3"/>
      </w:pPr>
      <w:r w:rsidRPr="004001E1">
        <w:t>WAC 357-31-</w:t>
      </w:r>
      <w:proofErr w:type="gramStart"/>
      <w:r w:rsidRPr="004001E1">
        <w:t>500  When</w:t>
      </w:r>
      <w:proofErr w:type="gramEnd"/>
      <w:r w:rsidRPr="004001E1">
        <w:t xml:space="preserve"> must disability leave due to pregnancy and/or childbirth be granted?  </w:t>
      </w:r>
    </w:p>
    <w:p w14:paraId="4B082439" w14:textId="77777777" w:rsidR="00F75E4B" w:rsidRDefault="00F75E4B" w:rsidP="00F75E4B">
      <w:pPr>
        <w:rPr>
          <w:rFonts w:ascii="Arial" w:hAnsi="Arial" w:cs="Arial"/>
          <w:szCs w:val="24"/>
        </w:rPr>
      </w:pPr>
      <w:r w:rsidRPr="004001E1">
        <w:rPr>
          <w:rFonts w:ascii="Arial" w:hAnsi="Arial" w:cs="Arial"/>
          <w:szCs w:val="24"/>
        </w:rPr>
        <w:t xml:space="preserve">Leave of absence must be granted for the </w:t>
      </w:r>
      <w:proofErr w:type="gramStart"/>
      <w:r w:rsidRPr="004001E1">
        <w:rPr>
          <w:rFonts w:ascii="Arial" w:hAnsi="Arial" w:cs="Arial"/>
          <w:szCs w:val="24"/>
        </w:rPr>
        <w:t>period of time</w:t>
      </w:r>
      <w:proofErr w:type="gramEnd"/>
      <w:r w:rsidRPr="004001E1">
        <w:rPr>
          <w:rFonts w:ascii="Arial" w:hAnsi="Arial" w:cs="Arial"/>
          <w:szCs w:val="24"/>
        </w:rPr>
        <w:t xml:space="preserve"> that ((</w:t>
      </w:r>
      <w:r w:rsidRPr="004001E1">
        <w:rPr>
          <w:rFonts w:ascii="Arial" w:hAnsi="Arial" w:cs="Arial"/>
          <w:strike/>
          <w:szCs w:val="24"/>
        </w:rPr>
        <w:t>a permanent</w:t>
      </w:r>
      <w:r w:rsidRPr="004001E1">
        <w:rPr>
          <w:rFonts w:ascii="Arial" w:hAnsi="Arial" w:cs="Arial"/>
          <w:szCs w:val="24"/>
        </w:rPr>
        <w:t xml:space="preserve">)) </w:t>
      </w:r>
      <w:r w:rsidRPr="004001E1">
        <w:rPr>
          <w:rFonts w:ascii="Arial" w:hAnsi="Arial" w:cs="Arial"/>
          <w:szCs w:val="24"/>
          <w:u w:val="single"/>
        </w:rPr>
        <w:t>an</w:t>
      </w:r>
      <w:r w:rsidRPr="004001E1">
        <w:rPr>
          <w:rFonts w:ascii="Arial" w:hAnsi="Arial" w:cs="Arial"/>
          <w:szCs w:val="24"/>
        </w:rPr>
        <w:t xml:space="preserve"> employee is sick or temporarily disabled because of pregnancy and/or childbirth.</w:t>
      </w:r>
    </w:p>
    <w:p w14:paraId="2A8AAF63" w14:textId="77777777" w:rsidR="00C3631E" w:rsidRDefault="00C3631E" w:rsidP="00F75E4B">
      <w:pPr>
        <w:rPr>
          <w:rFonts w:ascii="Arial" w:hAnsi="Arial" w:cs="Arial"/>
          <w:szCs w:val="24"/>
        </w:rPr>
      </w:pPr>
    </w:p>
    <w:p w14:paraId="0E3BB56B" w14:textId="09A32B8C" w:rsidR="00C3631E" w:rsidRPr="00F66F77" w:rsidRDefault="00C3631E" w:rsidP="00C3631E">
      <w:pPr>
        <w:pStyle w:val="Heading1"/>
        <w:rPr>
          <w:u w:val="single"/>
        </w:rPr>
      </w:pPr>
      <w:r w:rsidRPr="00F66F77">
        <w:rPr>
          <w:u w:val="single"/>
        </w:rPr>
        <w:t>Item #</w:t>
      </w:r>
      <w:r w:rsidR="004668B3">
        <w:rPr>
          <w:u w:val="single"/>
        </w:rPr>
        <w:t>9</w:t>
      </w:r>
      <w:r w:rsidRPr="00F66F77">
        <w:rPr>
          <w:u w:val="single"/>
        </w:rPr>
        <w:t xml:space="preserve"> - Cleanup USSLP and VISSLP Shared Leave Pools</w:t>
      </w:r>
    </w:p>
    <w:p w14:paraId="3513788B" w14:textId="77777777" w:rsidR="00C3631E" w:rsidRDefault="00C3631E" w:rsidP="00F66F77">
      <w:pPr>
        <w:spacing w:after="0"/>
        <w:rPr>
          <w:rFonts w:ascii="Arial" w:hAnsi="Arial" w:cs="Arial"/>
          <w:szCs w:val="24"/>
        </w:rPr>
      </w:pPr>
    </w:p>
    <w:p w14:paraId="2895CE3D" w14:textId="44781090" w:rsidR="00403459" w:rsidRPr="00403459" w:rsidRDefault="00403459" w:rsidP="00F66F77">
      <w:pPr>
        <w:spacing w:after="0"/>
        <w:rPr>
          <w:rFonts w:ascii="Arial" w:hAnsi="Arial" w:cs="Arial"/>
          <w:b/>
          <w:bCs/>
          <w:szCs w:val="24"/>
          <w:u w:val="single"/>
        </w:rPr>
      </w:pPr>
      <w:r w:rsidRPr="00403459">
        <w:rPr>
          <w:rFonts w:ascii="Arial" w:hAnsi="Arial" w:cs="Arial"/>
          <w:b/>
          <w:bCs/>
          <w:szCs w:val="24"/>
          <w:u w:val="single"/>
        </w:rPr>
        <w:t>Staff note:</w:t>
      </w:r>
    </w:p>
    <w:p w14:paraId="1327040C" w14:textId="77777777" w:rsidR="00C3631E" w:rsidRPr="005F2A7D" w:rsidRDefault="00C3631E" w:rsidP="00C3631E">
      <w:pPr>
        <w:pStyle w:val="ListParagraph"/>
        <w:numPr>
          <w:ilvl w:val="0"/>
          <w:numId w:val="15"/>
        </w:numPr>
        <w:rPr>
          <w:rFonts w:ascii="Arial" w:hAnsi="Arial" w:cs="Arial"/>
          <w:bCs/>
        </w:rPr>
      </w:pPr>
      <w:r w:rsidRPr="005F2A7D">
        <w:rPr>
          <w:rFonts w:ascii="Arial" w:hAnsi="Arial" w:cs="Arial"/>
          <w:bCs/>
        </w:rPr>
        <w:t xml:space="preserve">Amend </w:t>
      </w:r>
      <w:r w:rsidRPr="005F2A7D">
        <w:rPr>
          <w:rFonts w:ascii="Arial" w:hAnsi="Arial" w:cs="Arial"/>
        </w:rPr>
        <w:t xml:space="preserve">WAC 357-31-687 to remove the requirement for an employee to use </w:t>
      </w:r>
      <w:proofErr w:type="gramStart"/>
      <w:r w:rsidRPr="005F2A7D">
        <w:rPr>
          <w:rFonts w:ascii="Arial" w:hAnsi="Arial" w:cs="Arial"/>
        </w:rPr>
        <w:t>all of</w:t>
      </w:r>
      <w:proofErr w:type="gramEnd"/>
      <w:r w:rsidRPr="005F2A7D">
        <w:rPr>
          <w:rFonts w:ascii="Arial" w:hAnsi="Arial" w:cs="Arial"/>
        </w:rPr>
        <w:t xml:space="preserve"> their accrued vacation leave and paid military leave before receiving shared leave from the Uniformed Service Shared Leave Pool because an employee may maintain up to 40 hours of vacation leave and 40 hours of paid military leave. </w:t>
      </w:r>
    </w:p>
    <w:p w14:paraId="5AD30212" w14:textId="77777777" w:rsidR="00C3631E" w:rsidRPr="00403459" w:rsidRDefault="00C3631E" w:rsidP="00C3631E">
      <w:pPr>
        <w:pStyle w:val="ListParagraph"/>
        <w:numPr>
          <w:ilvl w:val="0"/>
          <w:numId w:val="15"/>
        </w:numPr>
        <w:rPr>
          <w:rFonts w:ascii="Arial" w:hAnsi="Arial" w:cs="Arial"/>
          <w:b/>
          <w:u w:val="single"/>
        </w:rPr>
      </w:pPr>
      <w:r w:rsidRPr="005F2A7D">
        <w:rPr>
          <w:rFonts w:ascii="Arial" w:hAnsi="Arial" w:cs="Arial"/>
        </w:rPr>
        <w:t xml:space="preserve">Amend WAC 357-31-797 to remove the requirement for an employee to use </w:t>
      </w:r>
      <w:proofErr w:type="gramStart"/>
      <w:r w:rsidRPr="005F2A7D">
        <w:rPr>
          <w:rFonts w:ascii="Arial" w:hAnsi="Arial" w:cs="Arial"/>
        </w:rPr>
        <w:t>all of</w:t>
      </w:r>
      <w:proofErr w:type="gramEnd"/>
      <w:r w:rsidRPr="005F2A7D">
        <w:rPr>
          <w:rFonts w:ascii="Arial" w:hAnsi="Arial" w:cs="Arial"/>
        </w:rPr>
        <w:t xml:space="preserve"> their accrued vacation leave and sick leave before receiving shared leave from the Veterans’ </w:t>
      </w:r>
      <w:r w:rsidRPr="005F2A7D">
        <w:rPr>
          <w:rFonts w:ascii="Arial" w:hAnsi="Arial" w:cs="Arial"/>
        </w:rPr>
        <w:lastRenderedPageBreak/>
        <w:t>In-State Service Shared Leave Pool because an employee may maintain up to 40 hours of vacation leave and 40 hours of sick leave.</w:t>
      </w:r>
    </w:p>
    <w:p w14:paraId="6DDE1111" w14:textId="2EBD36EB" w:rsidR="00403459" w:rsidRDefault="00870E8F" w:rsidP="00403459">
      <w:pPr>
        <w:spacing w:after="0"/>
        <w:rPr>
          <w:rFonts w:ascii="Arial" w:hAnsi="Arial" w:cs="Arial"/>
        </w:rPr>
      </w:pPr>
      <w:r>
        <w:rPr>
          <w:rFonts w:ascii="Arial" w:hAnsi="Arial" w:cs="Arial"/>
        </w:rPr>
        <w:t xml:space="preserve">We are planning to propose permanent adoption at the November 14, 2023, Director’s meeting. </w:t>
      </w:r>
      <w:r w:rsidR="00403459" w:rsidRPr="0048107C">
        <w:rPr>
          <w:rFonts w:ascii="Arial" w:hAnsi="Arial" w:cs="Arial"/>
        </w:rPr>
        <w:t xml:space="preserve">Lead:  Patricia Foshaug </w:t>
      </w:r>
    </w:p>
    <w:p w14:paraId="17DE12FC" w14:textId="77777777" w:rsidR="00403459" w:rsidRDefault="00403459" w:rsidP="00F66F77">
      <w:pPr>
        <w:spacing w:after="0"/>
        <w:rPr>
          <w:rFonts w:ascii="Arial" w:hAnsi="Arial" w:cs="Arial"/>
          <w:b/>
          <w:u w:val="single"/>
        </w:rPr>
      </w:pPr>
    </w:p>
    <w:p w14:paraId="6E9EA482" w14:textId="77777777" w:rsidR="00F66F77" w:rsidRPr="00403459" w:rsidRDefault="00F66F77" w:rsidP="00F66F77">
      <w:pPr>
        <w:spacing w:after="0"/>
        <w:rPr>
          <w:rFonts w:ascii="Arial" w:hAnsi="Arial" w:cs="Arial"/>
          <w:b/>
          <w:u w:val="single"/>
        </w:rPr>
      </w:pPr>
    </w:p>
    <w:p w14:paraId="641E7248" w14:textId="77777777" w:rsidR="00C3631E" w:rsidRPr="00F75E4B" w:rsidRDefault="00C3631E" w:rsidP="00F66F77">
      <w:pPr>
        <w:spacing w:after="0"/>
        <w:rPr>
          <w:rFonts w:ascii="Arial" w:hAnsi="Arial" w:cs="Arial"/>
          <w:szCs w:val="24"/>
        </w:rPr>
      </w:pPr>
      <w:r w:rsidRPr="004001E1">
        <w:rPr>
          <w:rFonts w:ascii="Arial" w:hAnsi="Arial" w:cs="Arial"/>
          <w:szCs w:val="24"/>
          <w:u w:val="single"/>
        </w:rPr>
        <w:t>AMENDATORY SECTION</w:t>
      </w:r>
      <w:r w:rsidRPr="004001E1">
        <w:rPr>
          <w:rFonts w:ascii="Arial" w:hAnsi="Arial" w:cs="Arial"/>
          <w:szCs w:val="24"/>
        </w:rPr>
        <w:t> </w:t>
      </w:r>
    </w:p>
    <w:p w14:paraId="7F131F26" w14:textId="77777777" w:rsidR="00C3631E" w:rsidRPr="004001E1" w:rsidRDefault="00C3631E" w:rsidP="006049B8">
      <w:pPr>
        <w:pStyle w:val="Heading3"/>
      </w:pPr>
      <w:r w:rsidRPr="004001E1">
        <w:t>WAC 357-31-</w:t>
      </w:r>
      <w:proofErr w:type="gramStart"/>
      <w:r w:rsidRPr="004001E1">
        <w:t>687  Must</w:t>
      </w:r>
      <w:proofErr w:type="gramEnd"/>
      <w:r w:rsidRPr="004001E1">
        <w:t xml:space="preserve"> employees use their own leave before receiving shared leave from the uniformed service shared leave pool?  </w:t>
      </w:r>
    </w:p>
    <w:p w14:paraId="1B9F03B2" w14:textId="77777777" w:rsidR="00C3631E" w:rsidRPr="004001E1" w:rsidRDefault="00C3631E" w:rsidP="00C3631E">
      <w:pPr>
        <w:rPr>
          <w:rFonts w:ascii="Arial" w:hAnsi="Arial" w:cs="Arial"/>
          <w:szCs w:val="24"/>
        </w:rPr>
      </w:pPr>
      <w:r w:rsidRPr="004001E1">
        <w:rPr>
          <w:rFonts w:ascii="Arial" w:hAnsi="Arial" w:cs="Arial"/>
          <w:szCs w:val="24"/>
        </w:rPr>
        <w:t xml:space="preserve">Employees who are eligible to receive shared leave from the uniformed service shared leave pool must first use all accrued compensatory time, accrued holiday credit, recognition leave as described in WAC 357-31-565, </w:t>
      </w:r>
      <w:r w:rsidRPr="004001E1">
        <w:rPr>
          <w:rFonts w:ascii="Arial" w:hAnsi="Arial" w:cs="Arial"/>
          <w:szCs w:val="24"/>
          <w:u w:val="single"/>
        </w:rPr>
        <w:t>and</w:t>
      </w:r>
      <w:r w:rsidRPr="004001E1">
        <w:rPr>
          <w:rFonts w:ascii="Arial" w:hAnsi="Arial" w:cs="Arial"/>
          <w:szCs w:val="24"/>
        </w:rPr>
        <w:t xml:space="preserve"> personal holiday((</w:t>
      </w:r>
      <w:r w:rsidRPr="004001E1">
        <w:rPr>
          <w:rFonts w:ascii="Arial" w:hAnsi="Arial" w:cs="Arial"/>
          <w:strike/>
          <w:szCs w:val="24"/>
        </w:rPr>
        <w:t>, vacation leave, and paid military leave allowed under RCW 38.40.060</w:t>
      </w:r>
      <w:r w:rsidRPr="004001E1">
        <w:rPr>
          <w:rFonts w:ascii="Arial" w:hAnsi="Arial" w:cs="Arial"/>
          <w:szCs w:val="24"/>
        </w:rPr>
        <w:t xml:space="preserve">)) before receiving shared leave from the uniformed service shared leave pool. The employee is not required to deplete </w:t>
      </w:r>
      <w:proofErr w:type="gramStart"/>
      <w:r w:rsidRPr="004001E1">
        <w:rPr>
          <w:rFonts w:ascii="Arial" w:hAnsi="Arial" w:cs="Arial"/>
          <w:szCs w:val="24"/>
        </w:rPr>
        <w:t>all of</w:t>
      </w:r>
      <w:proofErr w:type="gramEnd"/>
      <w:r w:rsidRPr="004001E1">
        <w:rPr>
          <w:rFonts w:ascii="Arial" w:hAnsi="Arial" w:cs="Arial"/>
          <w:szCs w:val="24"/>
        </w:rPr>
        <w:t xml:space="preserve"> their accrued vacation leave and paid military leave allowed under RCW 38.40.060 and can maintain up to 40 hours of vacation leave and 40 hours of paid military leave.</w:t>
      </w:r>
    </w:p>
    <w:p w14:paraId="3E5D8620" w14:textId="77777777" w:rsidR="00C3631E" w:rsidRPr="004001E1" w:rsidRDefault="00C3631E" w:rsidP="00C3631E">
      <w:pPr>
        <w:rPr>
          <w:rFonts w:ascii="Arial" w:hAnsi="Arial" w:cs="Arial"/>
          <w:szCs w:val="24"/>
        </w:rPr>
      </w:pPr>
    </w:p>
    <w:p w14:paraId="24EF57E3" w14:textId="77777777" w:rsidR="00C3631E" w:rsidRPr="00F75E4B" w:rsidRDefault="00C3631E" w:rsidP="00C3631E">
      <w:pPr>
        <w:rPr>
          <w:rFonts w:ascii="Arial" w:hAnsi="Arial" w:cs="Arial"/>
          <w:szCs w:val="24"/>
        </w:rPr>
      </w:pPr>
      <w:r w:rsidRPr="004001E1">
        <w:rPr>
          <w:rFonts w:ascii="Arial" w:hAnsi="Arial" w:cs="Arial"/>
          <w:szCs w:val="24"/>
          <w:u w:val="single"/>
        </w:rPr>
        <w:t>AMENDAT</w:t>
      </w:r>
      <w:r>
        <w:rPr>
          <w:rFonts w:ascii="Arial" w:hAnsi="Arial" w:cs="Arial"/>
          <w:szCs w:val="24"/>
          <w:u w:val="single"/>
        </w:rPr>
        <w:t>O</w:t>
      </w:r>
      <w:r w:rsidRPr="004001E1">
        <w:rPr>
          <w:rFonts w:ascii="Arial" w:hAnsi="Arial" w:cs="Arial"/>
          <w:szCs w:val="24"/>
          <w:u w:val="single"/>
        </w:rPr>
        <w:t>RY SECTION</w:t>
      </w:r>
      <w:r w:rsidRPr="004001E1">
        <w:rPr>
          <w:rFonts w:ascii="Arial" w:hAnsi="Arial" w:cs="Arial"/>
          <w:szCs w:val="24"/>
        </w:rPr>
        <w:t> </w:t>
      </w:r>
    </w:p>
    <w:p w14:paraId="0D0B6647" w14:textId="77777777" w:rsidR="00C3631E" w:rsidRPr="004001E1" w:rsidRDefault="00C3631E" w:rsidP="006049B8">
      <w:pPr>
        <w:pStyle w:val="Heading3"/>
      </w:pPr>
      <w:r w:rsidRPr="004001E1">
        <w:t>WAC 357-31-</w:t>
      </w:r>
      <w:proofErr w:type="gramStart"/>
      <w:r w:rsidRPr="004001E1">
        <w:t>797  Must</w:t>
      </w:r>
      <w:proofErr w:type="gramEnd"/>
      <w:r w:rsidRPr="004001E1">
        <w:t xml:space="preserve"> employees use their own leave before receiving shared leave from the veterans' in-state service shared leave pool?  </w:t>
      </w:r>
    </w:p>
    <w:p w14:paraId="095F57DC" w14:textId="77777777" w:rsidR="00C3631E" w:rsidRDefault="00C3631E" w:rsidP="00C3631E">
      <w:pPr>
        <w:rPr>
          <w:rFonts w:ascii="Arial" w:hAnsi="Arial" w:cs="Arial"/>
          <w:szCs w:val="24"/>
        </w:rPr>
      </w:pPr>
      <w:r w:rsidRPr="004001E1">
        <w:rPr>
          <w:rFonts w:ascii="Arial" w:hAnsi="Arial" w:cs="Arial"/>
          <w:szCs w:val="24"/>
        </w:rPr>
        <w:t xml:space="preserve">Employees who are eligible to receive shared leave from the veterans' in-state service shared leave pool must first use all accrued compensatory time, accrued holiday credit, recognition leave as described in WAC 357-31-565, </w:t>
      </w:r>
      <w:r w:rsidRPr="004001E1">
        <w:rPr>
          <w:rFonts w:ascii="Arial" w:hAnsi="Arial" w:cs="Arial"/>
          <w:szCs w:val="24"/>
          <w:u w:val="single"/>
        </w:rPr>
        <w:t>and</w:t>
      </w:r>
      <w:r w:rsidRPr="004001E1">
        <w:rPr>
          <w:rFonts w:ascii="Arial" w:hAnsi="Arial" w:cs="Arial"/>
          <w:szCs w:val="24"/>
        </w:rPr>
        <w:t xml:space="preserve"> personal holiday((</w:t>
      </w:r>
      <w:r w:rsidRPr="004001E1">
        <w:rPr>
          <w:rFonts w:ascii="Arial" w:hAnsi="Arial" w:cs="Arial"/>
          <w:strike/>
          <w:szCs w:val="24"/>
        </w:rPr>
        <w:t>, sick leave, and vacation leave</w:t>
      </w:r>
      <w:r w:rsidRPr="004001E1">
        <w:rPr>
          <w:rFonts w:ascii="Arial" w:hAnsi="Arial" w:cs="Arial"/>
          <w:szCs w:val="24"/>
        </w:rPr>
        <w:t xml:space="preserve">)) before receiving shared leave from the veterans' in-state service shared leave pool. The employee is not required to deplete </w:t>
      </w:r>
      <w:proofErr w:type="gramStart"/>
      <w:r w:rsidRPr="004001E1">
        <w:rPr>
          <w:rFonts w:ascii="Arial" w:hAnsi="Arial" w:cs="Arial"/>
          <w:szCs w:val="24"/>
        </w:rPr>
        <w:t>all of</w:t>
      </w:r>
      <w:proofErr w:type="gramEnd"/>
      <w:r w:rsidRPr="004001E1">
        <w:rPr>
          <w:rFonts w:ascii="Arial" w:hAnsi="Arial" w:cs="Arial"/>
          <w:szCs w:val="24"/>
        </w:rPr>
        <w:t xml:space="preserve"> their accrued vacation leave and sick leave and can maintain up to 40 hours of vacation leave and 40 hours of sick leave.</w:t>
      </w:r>
    </w:p>
    <w:p w14:paraId="5EF01C79" w14:textId="6EBFB067" w:rsidR="00403459" w:rsidRPr="00F66F77" w:rsidRDefault="00403459" w:rsidP="00403459">
      <w:pPr>
        <w:pStyle w:val="Heading1"/>
        <w:spacing w:after="240"/>
        <w:rPr>
          <w:u w:val="single"/>
        </w:rPr>
      </w:pPr>
      <w:r w:rsidRPr="00F66F77">
        <w:rPr>
          <w:u w:val="single"/>
        </w:rPr>
        <w:t>Item #</w:t>
      </w:r>
      <w:r w:rsidR="004668B3">
        <w:rPr>
          <w:u w:val="single"/>
        </w:rPr>
        <w:t>10</w:t>
      </w:r>
      <w:r w:rsidRPr="00F66F77">
        <w:rPr>
          <w:u w:val="single"/>
        </w:rPr>
        <w:t xml:space="preserve"> – Compensation</w:t>
      </w:r>
    </w:p>
    <w:p w14:paraId="12C16208" w14:textId="77777777" w:rsidR="00403459" w:rsidRDefault="00403459" w:rsidP="00403459">
      <w:pPr>
        <w:spacing w:after="240"/>
        <w:rPr>
          <w:rFonts w:ascii="Arial" w:hAnsi="Arial" w:cs="Arial"/>
        </w:rPr>
      </w:pPr>
      <w:r w:rsidRPr="00BB4124">
        <w:rPr>
          <w:rFonts w:ascii="Arial" w:hAnsi="Arial" w:cs="Arial"/>
          <w:b/>
          <w:u w:val="single"/>
        </w:rPr>
        <w:t>Staff note:</w:t>
      </w:r>
      <w:r>
        <w:rPr>
          <w:rFonts w:ascii="Arial" w:hAnsi="Arial" w:cs="Arial"/>
          <w:bCs/>
        </w:rPr>
        <w:t xml:space="preserve">  We are proposing to </w:t>
      </w:r>
      <w:r>
        <w:t>a</w:t>
      </w:r>
      <w:r w:rsidRPr="00403459">
        <w:rPr>
          <w:rFonts w:ascii="Arial" w:hAnsi="Arial" w:cs="Arial"/>
        </w:rPr>
        <w:t xml:space="preserve">mend </w:t>
      </w:r>
      <w:hyperlink r:id="rId109" w:history="1">
        <w:r w:rsidRPr="00403459">
          <w:rPr>
            <w:rFonts w:ascii="Arial" w:hAnsi="Arial" w:cs="Arial"/>
          </w:rPr>
          <w:t>WAC 357-58-141</w:t>
        </w:r>
      </w:hyperlink>
      <w:r w:rsidRPr="00403459">
        <w:rPr>
          <w:rFonts w:ascii="Arial" w:hAnsi="Arial" w:cs="Arial"/>
        </w:rPr>
        <w:t xml:space="preserve"> to clarify when an employee must receive location-based premium pay. It has been brought to our attention that WAC 357-58-141 should state location-based premium must be paid when an employee is assigned to work on McNeil Island </w:t>
      </w:r>
      <w:r w:rsidRPr="00403459">
        <w:rPr>
          <w:rFonts w:ascii="Arial" w:hAnsi="Arial" w:cs="Arial"/>
          <w:b/>
          <w:bCs/>
        </w:rPr>
        <w:t>or</w:t>
      </w:r>
      <w:r w:rsidRPr="00403459">
        <w:rPr>
          <w:rFonts w:ascii="Arial" w:hAnsi="Arial" w:cs="Arial"/>
        </w:rPr>
        <w:t xml:space="preserve"> assigned to a permanent duty station in King County.</w:t>
      </w:r>
    </w:p>
    <w:p w14:paraId="457EB512" w14:textId="1E9D6612" w:rsidR="00403459" w:rsidRDefault="00870E8F" w:rsidP="00403459">
      <w:pPr>
        <w:spacing w:after="0" w:line="240" w:lineRule="auto"/>
        <w:rPr>
          <w:rFonts w:ascii="Arial" w:hAnsi="Arial" w:cs="Arial"/>
          <w:bCs/>
        </w:rPr>
      </w:pPr>
      <w:r>
        <w:rPr>
          <w:rFonts w:ascii="Arial" w:hAnsi="Arial" w:cs="Arial"/>
        </w:rPr>
        <w:t xml:space="preserve">We are planning to propose permanent adoption at the November 14, 2023, Director’s meeting. </w:t>
      </w:r>
      <w:r w:rsidR="00403459" w:rsidRPr="006E4EEF">
        <w:rPr>
          <w:rFonts w:ascii="Arial" w:hAnsi="Arial" w:cs="Arial"/>
          <w:bCs/>
        </w:rPr>
        <w:t>Lead: Brittany Trujillo</w:t>
      </w:r>
    </w:p>
    <w:p w14:paraId="4E0EE241" w14:textId="04714024" w:rsidR="00403459" w:rsidRDefault="00403459" w:rsidP="00F66F77">
      <w:pPr>
        <w:spacing w:after="0"/>
      </w:pPr>
    </w:p>
    <w:p w14:paraId="07DA2618" w14:textId="77777777" w:rsidR="00F66F77" w:rsidRPr="00403459" w:rsidRDefault="00F66F77" w:rsidP="00F66F77">
      <w:pPr>
        <w:spacing w:after="0"/>
      </w:pPr>
    </w:p>
    <w:p w14:paraId="29BA50E4" w14:textId="5B06F772" w:rsidR="00C3631E" w:rsidRPr="004001E1" w:rsidRDefault="00C3631E" w:rsidP="00F66F77">
      <w:pPr>
        <w:spacing w:after="0"/>
        <w:rPr>
          <w:rFonts w:ascii="Arial" w:hAnsi="Arial" w:cs="Arial"/>
          <w:szCs w:val="24"/>
        </w:rPr>
      </w:pPr>
      <w:r w:rsidRPr="004001E1">
        <w:rPr>
          <w:rFonts w:ascii="Arial" w:hAnsi="Arial" w:cs="Arial"/>
          <w:szCs w:val="24"/>
          <w:u w:val="single"/>
        </w:rPr>
        <w:t>AMENDATORY SECTION</w:t>
      </w:r>
    </w:p>
    <w:p w14:paraId="6BBDF69E" w14:textId="77777777" w:rsidR="00C3631E" w:rsidRPr="004001E1" w:rsidRDefault="00C3631E" w:rsidP="006049B8">
      <w:pPr>
        <w:pStyle w:val="Heading3"/>
      </w:pPr>
      <w:r w:rsidRPr="004001E1">
        <w:t>WAC 357-58-</w:t>
      </w:r>
      <w:proofErr w:type="gramStart"/>
      <w:r w:rsidRPr="004001E1">
        <w:t>141  When</w:t>
      </w:r>
      <w:proofErr w:type="gramEnd"/>
      <w:r w:rsidRPr="004001E1">
        <w:t xml:space="preserve"> must a Washington management service (WMS) employee receive location based premium pay?  </w:t>
      </w:r>
    </w:p>
    <w:p w14:paraId="71AB09A6" w14:textId="77777777" w:rsidR="00C3631E" w:rsidRPr="004001E1" w:rsidRDefault="00C3631E" w:rsidP="00C3631E">
      <w:pPr>
        <w:rPr>
          <w:rFonts w:ascii="Arial" w:hAnsi="Arial" w:cs="Arial"/>
          <w:szCs w:val="24"/>
        </w:rPr>
      </w:pPr>
      <w:r w:rsidRPr="004001E1">
        <w:rPr>
          <w:rFonts w:ascii="Arial" w:hAnsi="Arial" w:cs="Arial"/>
          <w:szCs w:val="24"/>
        </w:rPr>
        <w:lastRenderedPageBreak/>
        <w:t>Location based premium pay at the rate specified in the compensation plan must be paid when a WMS employee is:</w:t>
      </w:r>
    </w:p>
    <w:p w14:paraId="499E280E" w14:textId="77777777" w:rsidR="00C3631E" w:rsidRPr="004001E1" w:rsidRDefault="00C3631E" w:rsidP="00C3631E">
      <w:pPr>
        <w:ind w:firstLine="720"/>
        <w:rPr>
          <w:rFonts w:ascii="Arial" w:hAnsi="Arial" w:cs="Arial"/>
          <w:szCs w:val="24"/>
        </w:rPr>
      </w:pPr>
      <w:r w:rsidRPr="004001E1">
        <w:rPr>
          <w:rFonts w:ascii="Arial" w:hAnsi="Arial" w:cs="Arial"/>
          <w:szCs w:val="24"/>
        </w:rPr>
        <w:t>(1) Assigned to work on McNeil Island at the special commitment center and for each day the employee is physically working on the island. Days in paid status not working on the island will not qualify for premium pay; ((</w:t>
      </w:r>
      <w:r w:rsidRPr="004001E1">
        <w:rPr>
          <w:rFonts w:ascii="Arial" w:hAnsi="Arial" w:cs="Arial"/>
          <w:strike/>
          <w:szCs w:val="24"/>
        </w:rPr>
        <w:t>and</w:t>
      </w:r>
      <w:r w:rsidRPr="004001E1">
        <w:rPr>
          <w:rFonts w:ascii="Arial" w:hAnsi="Arial" w:cs="Arial"/>
          <w:szCs w:val="24"/>
        </w:rPr>
        <w:t xml:space="preserve">)) </w:t>
      </w:r>
      <w:r w:rsidRPr="004001E1">
        <w:rPr>
          <w:rFonts w:ascii="Arial" w:hAnsi="Arial" w:cs="Arial"/>
          <w:szCs w:val="24"/>
          <w:u w:val="single"/>
        </w:rPr>
        <w:t>or</w:t>
      </w:r>
    </w:p>
    <w:p w14:paraId="53737993" w14:textId="77777777" w:rsidR="00C3631E" w:rsidRPr="00F75E4B" w:rsidRDefault="00C3631E" w:rsidP="00C3631E">
      <w:pPr>
        <w:ind w:firstLine="720"/>
        <w:rPr>
          <w:rFonts w:ascii="Arial" w:hAnsi="Arial" w:cs="Arial"/>
          <w:szCs w:val="24"/>
        </w:rPr>
      </w:pPr>
      <w:r w:rsidRPr="004001E1">
        <w:rPr>
          <w:rFonts w:ascii="Arial" w:hAnsi="Arial" w:cs="Arial"/>
          <w:szCs w:val="24"/>
        </w:rPr>
        <w:t xml:space="preserve">(2) Assigned to a permanent duty station in King County. When an employee is no longer permanently assigned to a King County duty </w:t>
      </w:r>
      <w:proofErr w:type="gramStart"/>
      <w:r w:rsidRPr="004001E1">
        <w:rPr>
          <w:rFonts w:ascii="Arial" w:hAnsi="Arial" w:cs="Arial"/>
          <w:szCs w:val="24"/>
        </w:rPr>
        <w:t>station</w:t>
      </w:r>
      <w:proofErr w:type="gramEnd"/>
      <w:r w:rsidRPr="004001E1">
        <w:rPr>
          <w:rFonts w:ascii="Arial" w:hAnsi="Arial" w:cs="Arial"/>
          <w:szCs w:val="24"/>
        </w:rPr>
        <w:t xml:space="preserve"> they will not be eligible for location based premium pay.</w:t>
      </w:r>
    </w:p>
    <w:p w14:paraId="5240BBC7" w14:textId="35C29A8F" w:rsidR="00FA5945" w:rsidRPr="00F66F77" w:rsidRDefault="00FA5945" w:rsidP="00FA5945">
      <w:pPr>
        <w:pStyle w:val="Heading1"/>
        <w:spacing w:after="240"/>
        <w:rPr>
          <w:u w:val="single"/>
        </w:rPr>
      </w:pPr>
      <w:r w:rsidRPr="00F66F77">
        <w:rPr>
          <w:u w:val="single"/>
        </w:rPr>
        <w:t>Item #</w:t>
      </w:r>
      <w:r w:rsidR="004668B3">
        <w:rPr>
          <w:u w:val="single"/>
        </w:rPr>
        <w:t>11</w:t>
      </w:r>
      <w:r w:rsidRPr="00F66F77">
        <w:rPr>
          <w:u w:val="single"/>
        </w:rPr>
        <w:t xml:space="preserve"> – Wage and Salary</w:t>
      </w:r>
    </w:p>
    <w:p w14:paraId="3443892B" w14:textId="048A81D2" w:rsidR="00FA5945" w:rsidRPr="004001E1" w:rsidRDefault="00FA5945" w:rsidP="00FA5945">
      <w:pPr>
        <w:spacing w:after="240"/>
        <w:rPr>
          <w:rFonts w:ascii="Arial" w:eastAsia="Times New Roman" w:hAnsi="Arial" w:cs="Arial"/>
          <w:szCs w:val="24"/>
        </w:rPr>
      </w:pPr>
      <w:r w:rsidRPr="004001E1">
        <w:rPr>
          <w:rFonts w:ascii="Arial" w:hAnsi="Arial" w:cs="Arial"/>
          <w:b/>
          <w:szCs w:val="24"/>
          <w:u w:val="single"/>
        </w:rPr>
        <w:t>Staff note:</w:t>
      </w:r>
      <w:r w:rsidRPr="004001E1">
        <w:rPr>
          <w:rFonts w:ascii="Arial" w:hAnsi="Arial" w:cs="Arial"/>
          <w:bCs/>
          <w:szCs w:val="24"/>
        </w:rPr>
        <w:t xml:space="preserve"> </w:t>
      </w:r>
      <w:hyperlink r:id="rId110" w:anchor="page=1" w:history="1">
        <w:r w:rsidRPr="004001E1">
          <w:rPr>
            <w:rFonts w:ascii="Arial" w:eastAsia="Times New Roman" w:hAnsi="Arial" w:cs="Arial"/>
            <w:color w:val="0000FF"/>
            <w:szCs w:val="24"/>
            <w:u w:val="single"/>
          </w:rPr>
          <w:t>ESSB 5761</w:t>
        </w:r>
      </w:hyperlink>
      <w:r w:rsidRPr="004001E1">
        <w:rPr>
          <w:rFonts w:ascii="Arial" w:eastAsia="Times New Roman" w:hAnsi="Arial" w:cs="Arial"/>
          <w:szCs w:val="24"/>
        </w:rPr>
        <w:t xml:space="preserve"> passed during the 2022 legislative session, Chapter 242, Laws 2022, with an effective date of January 1, 2023. The bill amends </w:t>
      </w:r>
      <w:hyperlink r:id="rId111" w:history="1">
        <w:r w:rsidRPr="004001E1">
          <w:rPr>
            <w:rFonts w:ascii="Arial" w:eastAsia="Times New Roman" w:hAnsi="Arial" w:cs="Arial"/>
            <w:color w:val="0000FF"/>
            <w:szCs w:val="24"/>
            <w:u w:val="single"/>
          </w:rPr>
          <w:t>RCW 49.58.110</w:t>
        </w:r>
      </w:hyperlink>
      <w:r w:rsidRPr="004001E1">
        <w:rPr>
          <w:rFonts w:ascii="Arial" w:eastAsia="Times New Roman" w:hAnsi="Arial" w:cs="Arial"/>
          <w:szCs w:val="24"/>
        </w:rPr>
        <w:t xml:space="preserve">, to state an employer must disclose the wage scale and salary range, and provide a general description of all the benefits or other compensation in each posting for a job opening. It also states upon request of an employee who is offered an internal transfer to a new position or promotion that the employer must provide the employee with the wage scale or the salary range of the position they would be transferring into.  </w:t>
      </w:r>
    </w:p>
    <w:p w14:paraId="6715B713" w14:textId="0A79CAB3" w:rsidR="00FA5945" w:rsidRPr="004001E1" w:rsidRDefault="00FA5945" w:rsidP="00FA5945">
      <w:pPr>
        <w:rPr>
          <w:rFonts w:ascii="Arial" w:hAnsi="Arial" w:cs="Arial"/>
          <w:szCs w:val="24"/>
        </w:rPr>
      </w:pPr>
      <w:r w:rsidRPr="004001E1">
        <w:rPr>
          <w:rFonts w:ascii="Arial" w:eastAsia="Times New Roman" w:hAnsi="Arial" w:cs="Arial"/>
          <w:szCs w:val="24"/>
        </w:rPr>
        <w:t>Staff is proposing to amend WAC 357-16-017 to repeal the requirement for an employer to provide the salary range or management band upon request of an individual for employment after an employer has initially offered the individual the position; add language to require an employer to disclose the salary range or management band in each job posting which includes a general description of all the benefits and other compensation; and to define the terms “salary range” and “management band” for the section.</w:t>
      </w:r>
      <w:r w:rsidRPr="004001E1">
        <w:rPr>
          <w:rFonts w:ascii="Arial" w:hAnsi="Arial" w:cs="Arial"/>
          <w:szCs w:val="24"/>
        </w:rPr>
        <w:t xml:space="preserve"> </w:t>
      </w:r>
    </w:p>
    <w:p w14:paraId="4B30617B" w14:textId="4D7FD178" w:rsidR="00FA5945" w:rsidRPr="00FA5945" w:rsidRDefault="00FA5945" w:rsidP="00FA5945">
      <w:pPr>
        <w:ind w:left="720"/>
        <w:rPr>
          <w:rFonts w:ascii="Arial" w:eastAsia="Times New Roman" w:hAnsi="Arial" w:cs="Arial"/>
          <w:szCs w:val="24"/>
        </w:rPr>
      </w:pPr>
      <w:r w:rsidRPr="004001E1">
        <w:rPr>
          <w:rFonts w:ascii="Arial" w:eastAsia="Times New Roman" w:hAnsi="Arial" w:cs="Arial"/>
          <w:szCs w:val="24"/>
          <w:u w:val="single"/>
        </w:rPr>
        <w:t>Note regarding</w:t>
      </w:r>
      <w:r w:rsidRPr="004001E1">
        <w:rPr>
          <w:rFonts w:ascii="Arial" w:hAnsi="Arial" w:cs="Arial"/>
          <w:b/>
          <w:bCs/>
          <w:szCs w:val="24"/>
        </w:rPr>
        <w:t xml:space="preserve"> </w:t>
      </w:r>
      <w:r w:rsidRPr="00655A05">
        <w:rPr>
          <w:rFonts w:ascii="Arial" w:hAnsi="Arial" w:cs="Arial"/>
          <w:szCs w:val="24"/>
          <w:u w:val="single"/>
        </w:rPr>
        <w:t>WAC 357-16-017(2)</w:t>
      </w:r>
      <w:r w:rsidRPr="004001E1">
        <w:rPr>
          <w:rFonts w:ascii="Arial" w:hAnsi="Arial" w:cs="Arial"/>
          <w:b/>
          <w:bCs/>
          <w:szCs w:val="24"/>
        </w:rPr>
        <w:t xml:space="preserve">:  </w:t>
      </w:r>
      <w:r w:rsidRPr="004001E1">
        <w:rPr>
          <w:rFonts w:ascii="Arial" w:eastAsia="Times New Roman" w:hAnsi="Arial" w:cs="Arial"/>
          <w:szCs w:val="24"/>
        </w:rPr>
        <w:t xml:space="preserve">The Washington State Department of Labor and Industries (LNI) interprets the movement between positions (transfer/promotion/ voluntary or involuntary demotion/reversions/in-training appointments/WMS acting appointments/nonpermanent appointments) would </w:t>
      </w:r>
      <w:r w:rsidRPr="004001E1">
        <w:rPr>
          <w:rFonts w:ascii="Arial" w:eastAsia="Times New Roman" w:hAnsi="Arial" w:cs="Arial"/>
          <w:b/>
          <w:bCs/>
          <w:szCs w:val="24"/>
        </w:rPr>
        <w:t>likely be</w:t>
      </w:r>
      <w:r w:rsidRPr="004001E1">
        <w:rPr>
          <w:rFonts w:ascii="Arial" w:eastAsia="Times New Roman" w:hAnsi="Arial" w:cs="Arial"/>
          <w:szCs w:val="24"/>
        </w:rPr>
        <w:t xml:space="preserve"> considered internal transfers and thus employers must provide the wage scale or salary range to employees upon request.</w:t>
      </w:r>
    </w:p>
    <w:p w14:paraId="39B5F821" w14:textId="176FE4EB" w:rsidR="00FA5945" w:rsidRPr="00FA5945" w:rsidRDefault="00FA5945" w:rsidP="00FA5945">
      <w:pPr>
        <w:rPr>
          <w:rFonts w:ascii="Arial" w:eastAsia="Times New Roman" w:hAnsi="Arial" w:cs="Arial"/>
          <w:szCs w:val="24"/>
        </w:rPr>
      </w:pPr>
      <w:r w:rsidRPr="004001E1">
        <w:rPr>
          <w:rFonts w:ascii="Arial" w:eastAsia="Times New Roman" w:hAnsi="Arial" w:cs="Arial"/>
          <w:szCs w:val="24"/>
        </w:rPr>
        <w:t>Staff is proposing to amend WAC 357-16-220(2) to define “negotiation” to include an offer of employment with compensation by the employer and acceptance of the offer by the applicant. This change is based on LNI’s</w:t>
      </w:r>
      <w:r>
        <w:rPr>
          <w:rFonts w:ascii="Arial" w:eastAsia="Times New Roman" w:hAnsi="Arial" w:cs="Arial"/>
          <w:szCs w:val="24"/>
        </w:rPr>
        <w:t xml:space="preserve"> </w:t>
      </w:r>
      <w:r w:rsidRPr="004001E1">
        <w:rPr>
          <w:rFonts w:ascii="Arial" w:eastAsia="Times New Roman" w:hAnsi="Arial" w:cs="Arial"/>
          <w:szCs w:val="24"/>
        </w:rPr>
        <w:t>interpretation that</w:t>
      </w:r>
      <w:r>
        <w:rPr>
          <w:rFonts w:ascii="Arial" w:eastAsia="Times New Roman" w:hAnsi="Arial" w:cs="Arial"/>
          <w:szCs w:val="24"/>
        </w:rPr>
        <w:t xml:space="preserve"> </w:t>
      </w:r>
      <w:r w:rsidRPr="004001E1">
        <w:rPr>
          <w:rFonts w:ascii="Arial" w:eastAsia="Times New Roman" w:hAnsi="Arial" w:cs="Arial"/>
          <w:szCs w:val="24"/>
        </w:rPr>
        <w:t>an offer of employment with compensation by the employer and acceptance of the offer by the applicant would constitute the element of “negotiation.”</w:t>
      </w:r>
    </w:p>
    <w:p w14:paraId="42A0A600" w14:textId="07BE7EC4" w:rsidR="00FA5945" w:rsidRPr="00FA5945" w:rsidRDefault="00FA5945" w:rsidP="00FA5945">
      <w:pPr>
        <w:rPr>
          <w:rFonts w:ascii="Arial" w:eastAsia="Times New Roman" w:hAnsi="Arial" w:cs="Arial"/>
          <w:szCs w:val="24"/>
        </w:rPr>
      </w:pPr>
      <w:r w:rsidRPr="004001E1">
        <w:rPr>
          <w:rFonts w:ascii="Arial" w:eastAsia="Times New Roman" w:hAnsi="Arial" w:cs="Arial"/>
          <w:szCs w:val="24"/>
        </w:rPr>
        <w:t xml:space="preserve">In addition, during the 2019 (HB 1696) rule making the nonpermanent appointment language was inadvertently missed. Staff is proposing to amend: </w:t>
      </w:r>
    </w:p>
    <w:p w14:paraId="280D2EE2" w14:textId="77777777" w:rsidR="00FA5945" w:rsidRPr="00FA5945" w:rsidRDefault="00FA5945" w:rsidP="00FA5945">
      <w:pPr>
        <w:pStyle w:val="ListParagraph"/>
        <w:numPr>
          <w:ilvl w:val="0"/>
          <w:numId w:val="16"/>
        </w:numPr>
        <w:rPr>
          <w:rFonts w:ascii="Arial" w:eastAsia="Times New Roman" w:hAnsi="Arial" w:cs="Arial"/>
        </w:rPr>
      </w:pPr>
      <w:r w:rsidRPr="00FA5945">
        <w:rPr>
          <w:rFonts w:ascii="Arial" w:hAnsi="Arial" w:cs="Arial"/>
        </w:rPr>
        <w:t>WAC 357-19-377 to add subsection (5) to require nonpermanent appointments to also be in compliance with the requirements governing wage and salary information (</w:t>
      </w:r>
      <w:r w:rsidRPr="00FA5945">
        <w:rPr>
          <w:rFonts w:ascii="Arial" w:hAnsi="Arial" w:cs="Arial"/>
          <w:bCs/>
        </w:rPr>
        <w:t xml:space="preserve">RCW </w:t>
      </w:r>
      <w:hyperlink r:id="rId112" w:history="1">
        <w:r w:rsidRPr="00FA5945">
          <w:rPr>
            <w:rStyle w:val="Hyperlink"/>
            <w:rFonts w:ascii="Arial" w:hAnsi="Arial" w:cs="Arial"/>
          </w:rPr>
          <w:t>49.58.100</w:t>
        </w:r>
      </w:hyperlink>
      <w:r w:rsidRPr="00FA5945">
        <w:rPr>
          <w:rFonts w:ascii="Arial" w:hAnsi="Arial" w:cs="Arial"/>
          <w:u w:val="single"/>
        </w:rPr>
        <w:t>, </w:t>
      </w:r>
      <w:hyperlink r:id="rId113" w:history="1">
        <w:r w:rsidRPr="00FA5945">
          <w:rPr>
            <w:rStyle w:val="Hyperlink"/>
            <w:rFonts w:ascii="Arial" w:hAnsi="Arial" w:cs="Arial"/>
          </w:rPr>
          <w:t>49.58.110</w:t>
        </w:r>
      </w:hyperlink>
      <w:r w:rsidRPr="00FA5945">
        <w:rPr>
          <w:rFonts w:ascii="Arial" w:hAnsi="Arial" w:cs="Arial"/>
          <w:u w:val="single"/>
        </w:rPr>
        <w:t>, WAC </w:t>
      </w:r>
      <w:hyperlink r:id="rId114" w:history="1">
        <w:r w:rsidRPr="00FA5945">
          <w:rPr>
            <w:rStyle w:val="Hyperlink"/>
            <w:rFonts w:ascii="Arial" w:hAnsi="Arial" w:cs="Arial"/>
          </w:rPr>
          <w:t>357-16-017</w:t>
        </w:r>
      </w:hyperlink>
      <w:r w:rsidRPr="00FA5945">
        <w:rPr>
          <w:rFonts w:ascii="Arial" w:hAnsi="Arial" w:cs="Arial"/>
          <w:u w:val="single"/>
        </w:rPr>
        <w:t>, </w:t>
      </w:r>
      <w:hyperlink r:id="rId115" w:history="1">
        <w:r w:rsidRPr="00FA5945">
          <w:rPr>
            <w:rStyle w:val="Hyperlink"/>
            <w:rFonts w:ascii="Arial" w:hAnsi="Arial" w:cs="Arial"/>
          </w:rPr>
          <w:t>357-16-215</w:t>
        </w:r>
      </w:hyperlink>
      <w:r w:rsidRPr="00FA5945">
        <w:rPr>
          <w:rFonts w:ascii="Arial" w:hAnsi="Arial" w:cs="Arial"/>
          <w:u w:val="single"/>
        </w:rPr>
        <w:t>, and </w:t>
      </w:r>
      <w:hyperlink r:id="rId116" w:history="1">
        <w:r w:rsidRPr="00FA5945">
          <w:rPr>
            <w:rStyle w:val="Hyperlink"/>
            <w:rFonts w:ascii="Arial" w:hAnsi="Arial" w:cs="Arial"/>
          </w:rPr>
          <w:t>357-16-220</w:t>
        </w:r>
      </w:hyperlink>
      <w:r w:rsidRPr="00FA5945">
        <w:rPr>
          <w:rStyle w:val="Hyperlink"/>
          <w:rFonts w:ascii="Arial" w:hAnsi="Arial" w:cs="Arial"/>
        </w:rPr>
        <w:t>)</w:t>
      </w:r>
      <w:r w:rsidRPr="00FA5945">
        <w:rPr>
          <w:rFonts w:ascii="Arial" w:hAnsi="Arial" w:cs="Arial"/>
        </w:rPr>
        <w:t xml:space="preserve">. </w:t>
      </w:r>
    </w:p>
    <w:p w14:paraId="1CCC68A0" w14:textId="77777777" w:rsidR="00FA5945" w:rsidRPr="00FA5945" w:rsidRDefault="00FA5945" w:rsidP="00FA5945">
      <w:pPr>
        <w:pStyle w:val="ListParagraph"/>
        <w:numPr>
          <w:ilvl w:val="0"/>
          <w:numId w:val="16"/>
        </w:numPr>
        <w:rPr>
          <w:rFonts w:ascii="Arial" w:eastAsia="Times New Roman" w:hAnsi="Arial" w:cs="Arial"/>
        </w:rPr>
      </w:pPr>
      <w:r w:rsidRPr="00FA5945">
        <w:rPr>
          <w:rFonts w:ascii="Arial" w:hAnsi="Arial" w:cs="Arial"/>
        </w:rPr>
        <w:t xml:space="preserve">WAC 357-19-380 to clarify other chapters of the civil service rules may apply to nonpermanent employees where specifically stated.  </w:t>
      </w:r>
    </w:p>
    <w:p w14:paraId="61505DF7" w14:textId="361B6886" w:rsidR="00FA5945" w:rsidRDefault="00870E8F" w:rsidP="00FA5945">
      <w:pPr>
        <w:spacing w:after="0"/>
        <w:rPr>
          <w:rFonts w:ascii="Arial" w:hAnsi="Arial" w:cs="Arial"/>
        </w:rPr>
      </w:pPr>
      <w:r>
        <w:rPr>
          <w:rFonts w:ascii="Arial" w:hAnsi="Arial" w:cs="Arial"/>
        </w:rPr>
        <w:lastRenderedPageBreak/>
        <w:t xml:space="preserve">We are planning to propose permanent adoption at the November 14, 2023, Director’s meeting. </w:t>
      </w:r>
      <w:r w:rsidR="00FA5945" w:rsidRPr="0048107C">
        <w:rPr>
          <w:rFonts w:ascii="Arial" w:hAnsi="Arial" w:cs="Arial"/>
        </w:rPr>
        <w:t xml:space="preserve">Lead:  Patricia Foshaug </w:t>
      </w:r>
    </w:p>
    <w:p w14:paraId="1B886AEA" w14:textId="77777777" w:rsidR="00FA5945" w:rsidRDefault="00FA5945" w:rsidP="00F66F77">
      <w:pPr>
        <w:spacing w:after="0"/>
        <w:rPr>
          <w:rFonts w:ascii="Arial" w:hAnsi="Arial" w:cs="Arial"/>
          <w:bCs/>
          <w:szCs w:val="24"/>
        </w:rPr>
      </w:pPr>
    </w:p>
    <w:p w14:paraId="0EDB0E98" w14:textId="77777777" w:rsidR="00F66F77" w:rsidRPr="004001E1" w:rsidRDefault="00F66F77" w:rsidP="00F66F77">
      <w:pPr>
        <w:spacing w:after="0"/>
        <w:rPr>
          <w:rFonts w:ascii="Arial" w:hAnsi="Arial" w:cs="Arial"/>
          <w:bCs/>
          <w:szCs w:val="24"/>
        </w:rPr>
      </w:pPr>
    </w:p>
    <w:p w14:paraId="7DCC2AC2" w14:textId="726C31C1" w:rsidR="00FA5945" w:rsidRPr="00FA5945" w:rsidRDefault="00FA5945" w:rsidP="00F66F77">
      <w:pPr>
        <w:spacing w:after="0"/>
        <w:rPr>
          <w:rFonts w:ascii="Arial" w:hAnsi="Arial" w:cs="Arial"/>
          <w:szCs w:val="24"/>
          <w:u w:val="single"/>
        </w:rPr>
      </w:pPr>
      <w:r w:rsidRPr="004001E1">
        <w:rPr>
          <w:rFonts w:ascii="Arial" w:hAnsi="Arial" w:cs="Arial"/>
          <w:szCs w:val="24"/>
          <w:u w:val="single"/>
        </w:rPr>
        <w:t>AMENDATORY SECTION</w:t>
      </w:r>
    </w:p>
    <w:p w14:paraId="0CC99BCA" w14:textId="6B308D92" w:rsidR="00FA5945" w:rsidRPr="004001E1" w:rsidRDefault="00FA5945" w:rsidP="00D15650">
      <w:pPr>
        <w:pStyle w:val="Heading3"/>
      </w:pPr>
      <w:r w:rsidRPr="004001E1">
        <w:t>WAC 357-16-</w:t>
      </w:r>
      <w:proofErr w:type="gramStart"/>
      <w:r w:rsidRPr="004001E1">
        <w:t>017  When</w:t>
      </w:r>
      <w:proofErr w:type="gramEnd"/>
      <w:r w:rsidRPr="004001E1">
        <w:t xml:space="preserve"> must an employer ((</w:t>
      </w:r>
      <w:r w:rsidRPr="004001E1">
        <w:rPr>
          <w:strike/>
        </w:rPr>
        <w:t>provide</w:t>
      </w:r>
      <w:r w:rsidRPr="004001E1">
        <w:t xml:space="preserve">)) </w:t>
      </w:r>
      <w:r w:rsidRPr="004001E1">
        <w:rPr>
          <w:u w:val="single"/>
        </w:rPr>
        <w:t>disclose</w:t>
      </w:r>
      <w:r w:rsidRPr="004001E1">
        <w:t xml:space="preserve"> the salary range or management band</w:t>
      </w:r>
      <w:r w:rsidRPr="004001E1">
        <w:rPr>
          <w:u w:val="single"/>
        </w:rPr>
        <w:t>, other compensation and a description of benefits</w:t>
      </w:r>
      <w:r w:rsidRPr="004001E1">
        <w:t xml:space="preserve"> for a position?  </w:t>
      </w:r>
    </w:p>
    <w:p w14:paraId="2D6A4516" w14:textId="77777777" w:rsidR="00FA5945" w:rsidRPr="004001E1" w:rsidRDefault="00FA5945" w:rsidP="00FA5945">
      <w:pPr>
        <w:rPr>
          <w:rFonts w:ascii="Arial" w:hAnsi="Arial" w:cs="Arial"/>
          <w:szCs w:val="24"/>
        </w:rPr>
      </w:pPr>
      <w:r w:rsidRPr="004001E1">
        <w:rPr>
          <w:rFonts w:ascii="Arial" w:hAnsi="Arial" w:cs="Arial"/>
          <w:szCs w:val="24"/>
        </w:rPr>
        <w:t>In accordance with RCW 49.58.110, an employer must ((</w:t>
      </w:r>
      <w:r w:rsidRPr="004001E1">
        <w:rPr>
          <w:rFonts w:ascii="Arial" w:hAnsi="Arial" w:cs="Arial"/>
          <w:strike/>
          <w:szCs w:val="24"/>
        </w:rPr>
        <w:t>provide</w:t>
      </w:r>
      <w:r w:rsidRPr="004001E1">
        <w:rPr>
          <w:rFonts w:ascii="Arial" w:hAnsi="Arial" w:cs="Arial"/>
          <w:szCs w:val="24"/>
        </w:rPr>
        <w:t xml:space="preserve">)) </w:t>
      </w:r>
      <w:r w:rsidRPr="004001E1">
        <w:rPr>
          <w:rFonts w:ascii="Arial" w:hAnsi="Arial" w:cs="Arial"/>
          <w:szCs w:val="24"/>
          <w:u w:val="single"/>
        </w:rPr>
        <w:t>disclose</w:t>
      </w:r>
      <w:r w:rsidRPr="004001E1">
        <w:rPr>
          <w:rFonts w:ascii="Arial" w:hAnsi="Arial" w:cs="Arial"/>
          <w:szCs w:val="24"/>
        </w:rPr>
        <w:t xml:space="preserve"> the salary range or management band in the following circumstances:</w:t>
      </w:r>
    </w:p>
    <w:p w14:paraId="60E93961" w14:textId="77777777" w:rsidR="00FA5945" w:rsidRPr="004001E1" w:rsidRDefault="00FA5945" w:rsidP="00FA5945">
      <w:pPr>
        <w:ind w:firstLine="720"/>
        <w:rPr>
          <w:rFonts w:ascii="Arial" w:hAnsi="Arial" w:cs="Arial"/>
          <w:szCs w:val="24"/>
        </w:rPr>
      </w:pPr>
      <w:r w:rsidRPr="004001E1">
        <w:rPr>
          <w:rFonts w:ascii="Arial" w:hAnsi="Arial" w:cs="Arial"/>
          <w:szCs w:val="24"/>
        </w:rPr>
        <w:t>(1) ((</w:t>
      </w:r>
      <w:r w:rsidRPr="004001E1">
        <w:rPr>
          <w:rFonts w:ascii="Arial" w:hAnsi="Arial" w:cs="Arial"/>
          <w:strike/>
          <w:szCs w:val="24"/>
        </w:rPr>
        <w:t>Upon request of an individual for employment after an employer has initially offered the individual the position</w:t>
      </w:r>
      <w:r w:rsidRPr="004001E1">
        <w:rPr>
          <w:rFonts w:ascii="Arial" w:hAnsi="Arial" w:cs="Arial"/>
          <w:szCs w:val="24"/>
        </w:rPr>
        <w:t xml:space="preserve">)) </w:t>
      </w:r>
      <w:r w:rsidRPr="004001E1">
        <w:rPr>
          <w:rFonts w:ascii="Arial" w:hAnsi="Arial" w:cs="Arial"/>
          <w:szCs w:val="24"/>
          <w:u w:val="single"/>
        </w:rPr>
        <w:t>In each job posting which includes a general description of all the benefits and other compensation</w:t>
      </w:r>
      <w:r w:rsidRPr="004001E1">
        <w:rPr>
          <w:rFonts w:ascii="Arial" w:hAnsi="Arial" w:cs="Arial"/>
          <w:szCs w:val="24"/>
        </w:rPr>
        <w:t>; and</w:t>
      </w:r>
    </w:p>
    <w:p w14:paraId="6E4B16A7" w14:textId="77777777" w:rsidR="00FA5945" w:rsidRPr="004001E1" w:rsidRDefault="00FA5945" w:rsidP="00FA5945">
      <w:pPr>
        <w:ind w:firstLine="720"/>
        <w:rPr>
          <w:rFonts w:ascii="Arial" w:hAnsi="Arial" w:cs="Arial"/>
          <w:szCs w:val="24"/>
        </w:rPr>
      </w:pPr>
      <w:r w:rsidRPr="004001E1">
        <w:rPr>
          <w:rFonts w:ascii="Arial" w:hAnsi="Arial" w:cs="Arial"/>
          <w:szCs w:val="24"/>
        </w:rPr>
        <w:t>(2) Upon request of a current employee who is offered an appointment to another position.</w:t>
      </w:r>
    </w:p>
    <w:p w14:paraId="51B0EB65" w14:textId="77777777" w:rsidR="00FA5945" w:rsidRPr="004001E1" w:rsidRDefault="00FA5945" w:rsidP="00FA5945">
      <w:pPr>
        <w:ind w:firstLine="720"/>
        <w:rPr>
          <w:rFonts w:ascii="Arial" w:hAnsi="Arial" w:cs="Arial"/>
          <w:szCs w:val="24"/>
        </w:rPr>
      </w:pPr>
      <w:r w:rsidRPr="004001E1">
        <w:rPr>
          <w:rFonts w:ascii="Arial" w:hAnsi="Arial" w:cs="Arial"/>
          <w:szCs w:val="24"/>
        </w:rPr>
        <w:t>((</w:t>
      </w:r>
      <w:r w:rsidRPr="004001E1">
        <w:rPr>
          <w:rFonts w:ascii="Arial" w:hAnsi="Arial" w:cs="Arial"/>
          <w:strike/>
          <w:szCs w:val="24"/>
        </w:rPr>
        <w:t>If no salary range or management band exists, an employer must provide the minimum wage set by the employer prior to posting the position or appointing an employee to another position.</w:t>
      </w:r>
      <w:r w:rsidRPr="004001E1">
        <w:rPr>
          <w:rFonts w:ascii="Arial" w:hAnsi="Arial" w:cs="Arial"/>
          <w:szCs w:val="24"/>
        </w:rPr>
        <w:t>))</w:t>
      </w:r>
    </w:p>
    <w:p w14:paraId="0B435CBC" w14:textId="77777777" w:rsidR="00FA5945" w:rsidRPr="004001E1" w:rsidRDefault="00FA5945" w:rsidP="00FA5945">
      <w:pPr>
        <w:ind w:firstLine="720"/>
        <w:rPr>
          <w:rFonts w:ascii="Arial" w:hAnsi="Arial" w:cs="Arial"/>
          <w:szCs w:val="24"/>
        </w:rPr>
      </w:pPr>
      <w:r w:rsidRPr="004001E1">
        <w:rPr>
          <w:rFonts w:ascii="Arial" w:hAnsi="Arial" w:cs="Arial"/>
          <w:szCs w:val="24"/>
          <w:u w:val="single"/>
        </w:rPr>
        <w:t>(3)</w:t>
      </w:r>
      <w:r w:rsidRPr="004001E1">
        <w:rPr>
          <w:rFonts w:ascii="Arial" w:hAnsi="Arial" w:cs="Arial"/>
          <w:szCs w:val="24"/>
        </w:rPr>
        <w:t xml:space="preserve"> For the purposes of this section</w:t>
      </w:r>
      <w:r w:rsidRPr="004001E1">
        <w:rPr>
          <w:rFonts w:ascii="Arial" w:hAnsi="Arial" w:cs="Arial"/>
          <w:szCs w:val="24"/>
          <w:u w:val="single"/>
        </w:rPr>
        <w:t>:</w:t>
      </w:r>
      <w:r w:rsidRPr="004001E1">
        <w:rPr>
          <w:rFonts w:ascii="Arial" w:hAnsi="Arial" w:cs="Arial"/>
          <w:szCs w:val="24"/>
        </w:rPr>
        <w:t xml:space="preserve"> </w:t>
      </w:r>
    </w:p>
    <w:p w14:paraId="32494003" w14:textId="77777777" w:rsidR="00FA5945" w:rsidRPr="004001E1" w:rsidRDefault="00FA5945" w:rsidP="00FA5945">
      <w:pPr>
        <w:ind w:firstLine="720"/>
        <w:rPr>
          <w:rFonts w:ascii="Arial" w:hAnsi="Arial" w:cs="Arial"/>
          <w:szCs w:val="24"/>
        </w:rPr>
      </w:pPr>
      <w:r w:rsidRPr="004001E1">
        <w:rPr>
          <w:rFonts w:ascii="Arial" w:hAnsi="Arial" w:cs="Arial"/>
          <w:szCs w:val="24"/>
          <w:u w:val="single"/>
        </w:rPr>
        <w:t>(a)</w:t>
      </w:r>
      <w:r w:rsidRPr="004001E1">
        <w:rPr>
          <w:rFonts w:ascii="Arial" w:hAnsi="Arial" w:cs="Arial"/>
          <w:szCs w:val="24"/>
        </w:rPr>
        <w:t xml:space="preserve"> "</w:t>
      </w:r>
      <w:r w:rsidRPr="004001E1">
        <w:rPr>
          <w:rFonts w:ascii="Arial" w:hAnsi="Arial" w:cs="Arial"/>
          <w:szCs w:val="24"/>
          <w:u w:val="single"/>
        </w:rPr>
        <w:t>E</w:t>
      </w:r>
      <w:r w:rsidRPr="004001E1">
        <w:rPr>
          <w:rFonts w:ascii="Arial" w:hAnsi="Arial" w:cs="Arial"/>
          <w:szCs w:val="24"/>
        </w:rPr>
        <w:t>mployer" also includes those employers with fewer than ((</w:t>
      </w:r>
      <w:r w:rsidRPr="004001E1">
        <w:rPr>
          <w:rFonts w:ascii="Arial" w:hAnsi="Arial" w:cs="Arial"/>
          <w:strike/>
          <w:szCs w:val="24"/>
        </w:rPr>
        <w:t>fifteen</w:t>
      </w:r>
      <w:r w:rsidRPr="004001E1">
        <w:rPr>
          <w:rFonts w:ascii="Arial" w:hAnsi="Arial" w:cs="Arial"/>
          <w:szCs w:val="24"/>
        </w:rPr>
        <w:t xml:space="preserve">)) </w:t>
      </w:r>
      <w:r w:rsidRPr="004001E1">
        <w:rPr>
          <w:rFonts w:ascii="Arial" w:hAnsi="Arial" w:cs="Arial"/>
          <w:szCs w:val="24"/>
          <w:u w:val="single"/>
        </w:rPr>
        <w:t>15</w:t>
      </w:r>
      <w:r w:rsidRPr="004001E1">
        <w:rPr>
          <w:rFonts w:ascii="Arial" w:hAnsi="Arial" w:cs="Arial"/>
          <w:szCs w:val="24"/>
        </w:rPr>
        <w:t xml:space="preserve"> employees</w:t>
      </w:r>
      <w:r w:rsidRPr="004001E1">
        <w:rPr>
          <w:rFonts w:ascii="Arial" w:hAnsi="Arial" w:cs="Arial"/>
          <w:szCs w:val="24"/>
          <w:u w:val="single"/>
        </w:rPr>
        <w:t>;</w:t>
      </w:r>
    </w:p>
    <w:p w14:paraId="3F2970E8" w14:textId="77777777" w:rsidR="00FA5945" w:rsidRPr="004001E1" w:rsidRDefault="00FA5945" w:rsidP="00FA5945">
      <w:pPr>
        <w:ind w:firstLine="720"/>
        <w:rPr>
          <w:rFonts w:ascii="Arial" w:hAnsi="Arial" w:cs="Arial"/>
          <w:szCs w:val="24"/>
        </w:rPr>
      </w:pPr>
      <w:r w:rsidRPr="004001E1">
        <w:rPr>
          <w:rFonts w:ascii="Arial" w:hAnsi="Arial" w:cs="Arial"/>
          <w:szCs w:val="24"/>
          <w:u w:val="single"/>
        </w:rPr>
        <w:t>(b) "Salary range" includes Step M; and</w:t>
      </w:r>
    </w:p>
    <w:p w14:paraId="33DD4880" w14:textId="77777777" w:rsidR="00FA5945" w:rsidRPr="004001E1" w:rsidRDefault="00FA5945" w:rsidP="00FA5945">
      <w:pPr>
        <w:ind w:firstLine="720"/>
        <w:rPr>
          <w:rFonts w:ascii="Arial" w:hAnsi="Arial" w:cs="Arial"/>
          <w:szCs w:val="24"/>
        </w:rPr>
      </w:pPr>
      <w:r w:rsidRPr="004001E1">
        <w:rPr>
          <w:rFonts w:ascii="Arial" w:hAnsi="Arial" w:cs="Arial"/>
          <w:szCs w:val="24"/>
          <w:u w:val="single"/>
        </w:rPr>
        <w:t>(c) "Management band" is the most reasonable and genuinely expected range that an agency has identified within their salary administration policy for Washington management services</w:t>
      </w:r>
      <w:r w:rsidRPr="004001E1">
        <w:rPr>
          <w:rFonts w:ascii="Arial" w:hAnsi="Arial" w:cs="Arial"/>
          <w:szCs w:val="24"/>
        </w:rPr>
        <w:t>.</w:t>
      </w:r>
    </w:p>
    <w:p w14:paraId="4B3336A2" w14:textId="77777777" w:rsidR="00FA5945" w:rsidRPr="004001E1" w:rsidRDefault="00FA5945" w:rsidP="00FA5945">
      <w:pPr>
        <w:rPr>
          <w:rFonts w:ascii="Arial" w:hAnsi="Arial" w:cs="Arial"/>
          <w:szCs w:val="24"/>
        </w:rPr>
      </w:pPr>
    </w:p>
    <w:p w14:paraId="1EB97B00" w14:textId="1117F40E" w:rsidR="00FA5945" w:rsidRPr="00FA5945" w:rsidRDefault="00FA5945" w:rsidP="00FA5945">
      <w:pPr>
        <w:rPr>
          <w:rFonts w:ascii="Arial" w:hAnsi="Arial" w:cs="Arial"/>
          <w:szCs w:val="24"/>
        </w:rPr>
      </w:pPr>
      <w:r w:rsidRPr="004001E1">
        <w:rPr>
          <w:rFonts w:ascii="Arial" w:hAnsi="Arial" w:cs="Arial"/>
          <w:szCs w:val="24"/>
          <w:u w:val="single"/>
        </w:rPr>
        <w:t>AMENDATORY SECTION</w:t>
      </w:r>
    </w:p>
    <w:p w14:paraId="28B871B9" w14:textId="42020ADF" w:rsidR="00FA5945" w:rsidRPr="004001E1" w:rsidRDefault="00FA5945" w:rsidP="00D15650">
      <w:pPr>
        <w:pStyle w:val="Heading3"/>
      </w:pPr>
      <w:r w:rsidRPr="004001E1">
        <w:t>WAC 357-16-</w:t>
      </w:r>
      <w:proofErr w:type="gramStart"/>
      <w:r w:rsidRPr="004001E1">
        <w:t>220  May</w:t>
      </w:r>
      <w:proofErr w:type="gramEnd"/>
      <w:r w:rsidRPr="004001E1">
        <w:t xml:space="preserve"> an employer confirm an individual's wage or salary history?  </w:t>
      </w:r>
    </w:p>
    <w:p w14:paraId="46EF8DB0" w14:textId="77777777" w:rsidR="00FA5945" w:rsidRPr="004001E1" w:rsidRDefault="00FA5945" w:rsidP="00FA5945">
      <w:pPr>
        <w:rPr>
          <w:rFonts w:ascii="Arial" w:hAnsi="Arial" w:cs="Arial"/>
          <w:szCs w:val="24"/>
        </w:rPr>
      </w:pPr>
      <w:r w:rsidRPr="004001E1">
        <w:rPr>
          <w:rFonts w:ascii="Arial" w:hAnsi="Arial" w:cs="Arial"/>
          <w:szCs w:val="24"/>
        </w:rPr>
        <w:t>In accordance with RCW 49.58.100, an employer may confirm an individual's wage or salary history if:</w:t>
      </w:r>
    </w:p>
    <w:p w14:paraId="6F1B7DB7" w14:textId="77777777" w:rsidR="00FA5945" w:rsidRPr="004001E1" w:rsidRDefault="00FA5945" w:rsidP="00FA5945">
      <w:pPr>
        <w:ind w:firstLine="720"/>
        <w:rPr>
          <w:rFonts w:ascii="Arial" w:hAnsi="Arial" w:cs="Arial"/>
          <w:szCs w:val="24"/>
        </w:rPr>
      </w:pPr>
      <w:r w:rsidRPr="004001E1">
        <w:rPr>
          <w:rFonts w:ascii="Arial" w:hAnsi="Arial" w:cs="Arial"/>
          <w:szCs w:val="24"/>
        </w:rPr>
        <w:t>(1) The individual has voluntarily disclosed their wage or salary history; or</w:t>
      </w:r>
    </w:p>
    <w:p w14:paraId="0CB2BB16" w14:textId="77777777" w:rsidR="00FA5945" w:rsidRPr="004001E1" w:rsidRDefault="00FA5945" w:rsidP="00FA5945">
      <w:pPr>
        <w:ind w:firstLine="720"/>
        <w:rPr>
          <w:rFonts w:ascii="Arial" w:hAnsi="Arial" w:cs="Arial"/>
          <w:szCs w:val="24"/>
        </w:rPr>
      </w:pPr>
      <w:r w:rsidRPr="004001E1">
        <w:rPr>
          <w:rFonts w:ascii="Arial" w:hAnsi="Arial" w:cs="Arial"/>
          <w:szCs w:val="24"/>
        </w:rPr>
        <w:t xml:space="preserve">(2) After the employer has negotiated an offer and made an offer of employment including compensation to the individual. </w:t>
      </w:r>
      <w:r w:rsidRPr="004001E1">
        <w:rPr>
          <w:rFonts w:ascii="Arial" w:hAnsi="Arial" w:cs="Arial"/>
          <w:szCs w:val="24"/>
          <w:u w:val="single"/>
        </w:rPr>
        <w:t>Negotiation includes an offer of employment with compensation by the employer and acceptance of the offer by the applicant.</w:t>
      </w:r>
    </w:p>
    <w:p w14:paraId="3FBFFA28" w14:textId="77777777" w:rsidR="00FA5945" w:rsidRPr="004001E1" w:rsidRDefault="00FA5945" w:rsidP="00FA5945">
      <w:pPr>
        <w:ind w:firstLine="720"/>
        <w:rPr>
          <w:rFonts w:ascii="Arial" w:hAnsi="Arial" w:cs="Arial"/>
          <w:szCs w:val="24"/>
        </w:rPr>
      </w:pPr>
      <w:r w:rsidRPr="004001E1">
        <w:rPr>
          <w:rFonts w:ascii="Arial" w:hAnsi="Arial" w:cs="Arial"/>
          <w:szCs w:val="24"/>
        </w:rPr>
        <w:t>For the purposes of this section "employer" also includes those employers with fewer than ((</w:t>
      </w:r>
      <w:r w:rsidRPr="004001E1">
        <w:rPr>
          <w:rFonts w:ascii="Arial" w:hAnsi="Arial" w:cs="Arial"/>
          <w:strike/>
          <w:szCs w:val="24"/>
        </w:rPr>
        <w:t>fifteen</w:t>
      </w:r>
      <w:r w:rsidRPr="004001E1">
        <w:rPr>
          <w:rFonts w:ascii="Arial" w:hAnsi="Arial" w:cs="Arial"/>
          <w:szCs w:val="24"/>
        </w:rPr>
        <w:t xml:space="preserve">)) </w:t>
      </w:r>
      <w:r w:rsidRPr="004001E1">
        <w:rPr>
          <w:rFonts w:ascii="Arial" w:hAnsi="Arial" w:cs="Arial"/>
          <w:szCs w:val="24"/>
          <w:u w:val="single"/>
        </w:rPr>
        <w:t>15</w:t>
      </w:r>
      <w:r w:rsidRPr="004001E1">
        <w:rPr>
          <w:rFonts w:ascii="Arial" w:hAnsi="Arial" w:cs="Arial"/>
          <w:szCs w:val="24"/>
        </w:rPr>
        <w:t xml:space="preserve"> employees.</w:t>
      </w:r>
    </w:p>
    <w:p w14:paraId="42ECAF17" w14:textId="77777777" w:rsidR="00FA5945" w:rsidRPr="004001E1" w:rsidRDefault="00FA5945" w:rsidP="00FA5945">
      <w:pPr>
        <w:rPr>
          <w:rFonts w:ascii="Arial" w:hAnsi="Arial" w:cs="Arial"/>
          <w:szCs w:val="24"/>
        </w:rPr>
      </w:pPr>
    </w:p>
    <w:p w14:paraId="36A38394" w14:textId="410D1AC3" w:rsidR="00FA5945" w:rsidRPr="00FA5945" w:rsidRDefault="00FA5945" w:rsidP="00FA5945">
      <w:pPr>
        <w:rPr>
          <w:rFonts w:ascii="Arial" w:hAnsi="Arial" w:cs="Arial"/>
          <w:szCs w:val="24"/>
        </w:rPr>
      </w:pPr>
      <w:r w:rsidRPr="004001E1">
        <w:rPr>
          <w:rFonts w:ascii="Arial" w:hAnsi="Arial" w:cs="Arial"/>
          <w:szCs w:val="24"/>
          <w:u w:val="single"/>
        </w:rPr>
        <w:lastRenderedPageBreak/>
        <w:t>AMENDATORY SECTION</w:t>
      </w:r>
      <w:r w:rsidRPr="004001E1">
        <w:rPr>
          <w:rFonts w:ascii="Arial" w:hAnsi="Arial" w:cs="Arial"/>
          <w:szCs w:val="24"/>
        </w:rPr>
        <w:t> </w:t>
      </w:r>
    </w:p>
    <w:p w14:paraId="010C9F82" w14:textId="305077A2" w:rsidR="00FA5945" w:rsidRPr="004001E1" w:rsidRDefault="00FA5945" w:rsidP="00D15650">
      <w:pPr>
        <w:pStyle w:val="Heading3"/>
      </w:pPr>
      <w:r w:rsidRPr="004001E1">
        <w:t>WAC 357-19-</w:t>
      </w:r>
      <w:proofErr w:type="gramStart"/>
      <w:r w:rsidRPr="004001E1">
        <w:t>377  What</w:t>
      </w:r>
      <w:proofErr w:type="gramEnd"/>
      <w:r w:rsidRPr="004001E1">
        <w:t xml:space="preserve"> provisions apply to nonpermanent appointments?  </w:t>
      </w:r>
    </w:p>
    <w:p w14:paraId="5C4FEA0F" w14:textId="77777777" w:rsidR="00FA5945" w:rsidRPr="004001E1" w:rsidRDefault="00FA5945" w:rsidP="00FA5945">
      <w:pPr>
        <w:rPr>
          <w:rFonts w:ascii="Arial" w:hAnsi="Arial" w:cs="Arial"/>
          <w:szCs w:val="24"/>
        </w:rPr>
      </w:pPr>
      <w:r w:rsidRPr="004001E1">
        <w:rPr>
          <w:rFonts w:ascii="Arial" w:hAnsi="Arial" w:cs="Arial"/>
          <w:szCs w:val="24"/>
        </w:rPr>
        <w:t>Nonpermanent appointments are subject to the following provisions:</w:t>
      </w:r>
    </w:p>
    <w:p w14:paraId="00D32542" w14:textId="77777777" w:rsidR="00FA5945" w:rsidRPr="004001E1" w:rsidRDefault="00FA5945" w:rsidP="00FA5945">
      <w:pPr>
        <w:ind w:firstLine="720"/>
        <w:rPr>
          <w:rFonts w:ascii="Arial" w:hAnsi="Arial" w:cs="Arial"/>
          <w:szCs w:val="24"/>
        </w:rPr>
      </w:pPr>
      <w:r w:rsidRPr="004001E1">
        <w:rPr>
          <w:rFonts w:ascii="Arial" w:hAnsi="Arial" w:cs="Arial"/>
          <w:szCs w:val="24"/>
        </w:rPr>
        <w:t>(1) Nonpermanent appointees must meet the competencies and other requirements of the position to which they are appointed.</w:t>
      </w:r>
    </w:p>
    <w:p w14:paraId="3F4911D2" w14:textId="77777777" w:rsidR="00FA5945" w:rsidRPr="004001E1" w:rsidRDefault="00FA5945" w:rsidP="00FA5945">
      <w:pPr>
        <w:ind w:firstLine="720"/>
        <w:rPr>
          <w:rFonts w:ascii="Arial" w:hAnsi="Arial" w:cs="Arial"/>
          <w:szCs w:val="24"/>
        </w:rPr>
      </w:pPr>
      <w:r w:rsidRPr="004001E1">
        <w:rPr>
          <w:rFonts w:ascii="Arial" w:hAnsi="Arial" w:cs="Arial"/>
          <w:szCs w:val="24"/>
        </w:rPr>
        <w:t>(2) Nonpermanent appointments may be filled on a noncompetitive basis which means the employer is not required to comply with the rules on recruitment, assessment and certification as provided in chapter 357-16 WAC.</w:t>
      </w:r>
    </w:p>
    <w:p w14:paraId="713D6BA5" w14:textId="77777777" w:rsidR="00FA5945" w:rsidRPr="004001E1" w:rsidRDefault="00FA5945" w:rsidP="00FA5945">
      <w:pPr>
        <w:ind w:firstLine="720"/>
        <w:rPr>
          <w:rFonts w:ascii="Arial" w:hAnsi="Arial" w:cs="Arial"/>
          <w:szCs w:val="24"/>
        </w:rPr>
      </w:pPr>
      <w:r w:rsidRPr="004001E1">
        <w:rPr>
          <w:rFonts w:ascii="Arial" w:hAnsi="Arial" w:cs="Arial"/>
          <w:szCs w:val="24"/>
        </w:rPr>
        <w:t xml:space="preserve">(3) Nonpermanent appointments may be filled using the competitive process specified in chapter 357-16 WAC </w:t>
      </w:r>
      <w:proofErr w:type="gramStart"/>
      <w:r w:rsidRPr="004001E1">
        <w:rPr>
          <w:rFonts w:ascii="Arial" w:hAnsi="Arial" w:cs="Arial"/>
          <w:szCs w:val="24"/>
        </w:rPr>
        <w:t>as long as</w:t>
      </w:r>
      <w:proofErr w:type="gramEnd"/>
      <w:r w:rsidRPr="004001E1">
        <w:rPr>
          <w:rFonts w:ascii="Arial" w:hAnsi="Arial" w:cs="Arial"/>
          <w:szCs w:val="24"/>
        </w:rPr>
        <w:t xml:space="preserve"> the eligible applicant indicates a willingness to accept a nonpermanent appointment.</w:t>
      </w:r>
    </w:p>
    <w:p w14:paraId="5C5793BF" w14:textId="77777777" w:rsidR="00FA5945" w:rsidRPr="004001E1" w:rsidRDefault="00FA5945" w:rsidP="00FA5945">
      <w:pPr>
        <w:ind w:firstLine="720"/>
        <w:rPr>
          <w:rFonts w:ascii="Arial" w:hAnsi="Arial" w:cs="Arial"/>
          <w:szCs w:val="24"/>
        </w:rPr>
      </w:pPr>
      <w:r w:rsidRPr="004001E1">
        <w:rPr>
          <w:rFonts w:ascii="Arial" w:hAnsi="Arial" w:cs="Arial"/>
          <w:szCs w:val="24"/>
        </w:rPr>
        <w:t>(4) Employers may underfill a position with a nonpermanent appointment.</w:t>
      </w:r>
    </w:p>
    <w:p w14:paraId="26CBFB80" w14:textId="77777777" w:rsidR="00FA5945" w:rsidRPr="004001E1" w:rsidRDefault="00FA5945" w:rsidP="00FA5945">
      <w:pPr>
        <w:ind w:firstLine="720"/>
        <w:rPr>
          <w:rFonts w:ascii="Arial" w:hAnsi="Arial" w:cs="Arial"/>
          <w:szCs w:val="24"/>
        </w:rPr>
      </w:pPr>
      <w:r w:rsidRPr="004001E1">
        <w:rPr>
          <w:rFonts w:ascii="Arial" w:hAnsi="Arial" w:cs="Arial"/>
          <w:szCs w:val="24"/>
          <w:u w:val="single"/>
        </w:rPr>
        <w:t>(5) Ensure compliance with requirements governing wage and salary information in accordance with RCW 49.58.100, 49.58.110, WAC 357-16-017, 357-16-215, and 357-16-220.</w:t>
      </w:r>
    </w:p>
    <w:p w14:paraId="7A7C33AA" w14:textId="77777777" w:rsidR="00FA5945" w:rsidRPr="004001E1" w:rsidRDefault="00FA5945" w:rsidP="00FA5945">
      <w:pPr>
        <w:rPr>
          <w:rFonts w:ascii="Arial" w:hAnsi="Arial" w:cs="Arial"/>
          <w:szCs w:val="24"/>
        </w:rPr>
      </w:pPr>
    </w:p>
    <w:p w14:paraId="17A5F69E" w14:textId="38FAAC60" w:rsidR="00FA5945" w:rsidRPr="00FA5945" w:rsidRDefault="00FA5945" w:rsidP="00FA5945">
      <w:pPr>
        <w:rPr>
          <w:rFonts w:ascii="Arial" w:hAnsi="Arial" w:cs="Arial"/>
          <w:szCs w:val="24"/>
        </w:rPr>
      </w:pPr>
      <w:r w:rsidRPr="004001E1">
        <w:rPr>
          <w:rFonts w:ascii="Arial" w:hAnsi="Arial" w:cs="Arial"/>
          <w:szCs w:val="24"/>
          <w:u w:val="single"/>
        </w:rPr>
        <w:t>AMENDATORY SECTION</w:t>
      </w:r>
    </w:p>
    <w:p w14:paraId="01DEAE8A" w14:textId="4AA82928" w:rsidR="00FA5945" w:rsidRPr="004001E1" w:rsidRDefault="00FA5945" w:rsidP="00D15650">
      <w:pPr>
        <w:pStyle w:val="Heading3"/>
      </w:pPr>
      <w:r w:rsidRPr="004001E1">
        <w:t xml:space="preserve">WAC 357-19-380  What provisions of the civil service rules apply to nonpermanent employees?  </w:t>
      </w:r>
    </w:p>
    <w:p w14:paraId="56DA9655" w14:textId="77777777" w:rsidR="00FA5945" w:rsidRDefault="00FA5945" w:rsidP="00FA5945">
      <w:pPr>
        <w:rPr>
          <w:rFonts w:ascii="Arial" w:hAnsi="Arial" w:cs="Arial"/>
          <w:szCs w:val="24"/>
          <w:u w:val="single"/>
        </w:rPr>
      </w:pPr>
      <w:r w:rsidRPr="004001E1">
        <w:rPr>
          <w:rFonts w:ascii="Arial" w:hAnsi="Arial" w:cs="Arial"/>
          <w:szCs w:val="24"/>
        </w:rPr>
        <w:t xml:space="preserve">The leave and holiday provisions of chapter 357-31 WAC and compensation provisions of chapter 357-28 WAC apply to employees in nonpermanent appointments. </w:t>
      </w:r>
      <w:r w:rsidRPr="004001E1">
        <w:rPr>
          <w:rFonts w:ascii="Arial" w:hAnsi="Arial" w:cs="Arial"/>
          <w:szCs w:val="24"/>
          <w:u w:val="single"/>
        </w:rPr>
        <w:t>Other chapters of civil service rules may apply where specifically stated.</w:t>
      </w:r>
    </w:p>
    <w:p w14:paraId="4E7ACBC2" w14:textId="77777777" w:rsidR="00322949" w:rsidRPr="004001E1" w:rsidRDefault="00322949" w:rsidP="00FA5945">
      <w:pPr>
        <w:rPr>
          <w:rFonts w:ascii="Arial" w:hAnsi="Arial" w:cs="Arial"/>
          <w:szCs w:val="24"/>
        </w:rPr>
      </w:pPr>
    </w:p>
    <w:p w14:paraId="35C79E9E" w14:textId="5E23AB64" w:rsidR="00322949" w:rsidRDefault="00322949" w:rsidP="00322949">
      <w:pPr>
        <w:pStyle w:val="Heading1"/>
      </w:pPr>
      <w:r w:rsidRPr="00F66F77">
        <w:rPr>
          <w:u w:val="single"/>
        </w:rPr>
        <w:t xml:space="preserve">Item # </w:t>
      </w:r>
      <w:r w:rsidR="004668B3">
        <w:rPr>
          <w:u w:val="single"/>
        </w:rPr>
        <w:t>12</w:t>
      </w:r>
      <w:r w:rsidRPr="00F66F77">
        <w:rPr>
          <w:u w:val="single"/>
        </w:rPr>
        <w:t xml:space="preserve"> – Leave to Obtain Vaccination, Hours Worked</w:t>
      </w:r>
    </w:p>
    <w:p w14:paraId="0F1C1E1E" w14:textId="77777777" w:rsidR="00F66F77" w:rsidRPr="00F66F77" w:rsidRDefault="00F66F77" w:rsidP="00F66F77">
      <w:pPr>
        <w:spacing w:after="0"/>
      </w:pPr>
    </w:p>
    <w:p w14:paraId="7566307C" w14:textId="26E4E23A" w:rsidR="00322949" w:rsidRPr="00322949" w:rsidRDefault="00322949" w:rsidP="00F66F77">
      <w:pPr>
        <w:spacing w:after="0"/>
        <w:rPr>
          <w:rFonts w:ascii="Arial" w:hAnsi="Arial" w:cs="Arial"/>
        </w:rPr>
      </w:pPr>
      <w:r w:rsidRPr="00322949">
        <w:rPr>
          <w:rFonts w:ascii="Arial" w:hAnsi="Arial" w:cs="Arial"/>
          <w:b/>
          <w:u w:val="single"/>
        </w:rPr>
        <w:t>Staff note:</w:t>
      </w:r>
      <w:r w:rsidRPr="00322949">
        <w:rPr>
          <w:rFonts w:ascii="Arial" w:hAnsi="Arial" w:cs="Arial"/>
        </w:rPr>
        <w:t xml:space="preserve"> </w:t>
      </w:r>
      <w:hyperlink r:id="rId117" w:history="1">
        <w:r w:rsidRPr="00322949">
          <w:rPr>
            <w:rStyle w:val="Hyperlink"/>
            <w:rFonts w:ascii="Arial" w:hAnsi="Arial" w:cs="Arial"/>
          </w:rPr>
          <w:t>WAC 357-31-325</w:t>
        </w:r>
      </w:hyperlink>
      <w:r w:rsidRPr="00322949">
        <w:rPr>
          <w:rStyle w:val="Hyperlink"/>
          <w:rFonts w:ascii="Arial" w:hAnsi="Arial" w:cs="Arial"/>
        </w:rPr>
        <w:t>(5)</w:t>
      </w:r>
      <w:r w:rsidRPr="00322949">
        <w:rPr>
          <w:rFonts w:ascii="Arial" w:hAnsi="Arial" w:cs="Arial"/>
        </w:rPr>
        <w:t xml:space="preserve"> requires an employer to grant leave with pay to a general government employee to travel and receive each dose or booster of COVID-19 vaccine if the vaccine is not offered at the workplace. </w:t>
      </w:r>
      <w:hyperlink r:id="rId118" w:history="1">
        <w:r w:rsidRPr="00322949">
          <w:rPr>
            <w:rStyle w:val="Hyperlink"/>
            <w:rFonts w:ascii="Arial" w:hAnsi="Arial" w:cs="Arial"/>
          </w:rPr>
          <w:t>WAC 357-31-326(4)</w:t>
        </w:r>
      </w:hyperlink>
      <w:r w:rsidRPr="00322949">
        <w:rPr>
          <w:rFonts w:ascii="Arial" w:hAnsi="Arial" w:cs="Arial"/>
        </w:rPr>
        <w:t xml:space="preserve"> states a general government employer may grant a reasonable amount of leave with pay for an employee to receive each dose or booster of COVID-19 vaccine if the vaccine is offered at the workplace. </w:t>
      </w:r>
      <w:hyperlink r:id="rId119" w:history="1">
        <w:r w:rsidRPr="00322949">
          <w:rPr>
            <w:rStyle w:val="Hyperlink"/>
            <w:rFonts w:ascii="Arial" w:hAnsi="Arial" w:cs="Arial"/>
          </w:rPr>
          <w:t>WAC 357-31-326(5)</w:t>
        </w:r>
      </w:hyperlink>
      <w:r w:rsidRPr="00322949">
        <w:rPr>
          <w:rFonts w:ascii="Arial" w:hAnsi="Arial" w:cs="Arial"/>
        </w:rPr>
        <w:t xml:space="preserve"> states a higher education employer may grant a reasonable amount of leave with pay for an employee to receive each dose of booster of COVID-19 vaccine if the vaccine is not offered at the workplace. </w:t>
      </w:r>
      <w:hyperlink r:id="rId120" w:history="1">
        <w:r w:rsidRPr="00322949">
          <w:rPr>
            <w:rStyle w:val="Hyperlink"/>
            <w:rFonts w:ascii="Arial" w:hAnsi="Arial" w:cs="Arial"/>
          </w:rPr>
          <w:t>WAC 357-28-265</w:t>
        </w:r>
      </w:hyperlink>
      <w:r w:rsidRPr="00322949">
        <w:rPr>
          <w:rFonts w:ascii="Arial" w:eastAsia="Times New Roman" w:hAnsi="Arial" w:cs="Arial"/>
          <w:color w:val="000000"/>
        </w:rPr>
        <w:t xml:space="preserve"> states for the purposes of computing eligibility for overtime compensation,  leave with pay during an employee’s regular work schedule is not considered time worked.</w:t>
      </w:r>
      <w:r w:rsidRPr="00322949">
        <w:rPr>
          <w:rFonts w:ascii="Arial" w:hAnsi="Arial" w:cs="Arial"/>
        </w:rPr>
        <w:t xml:space="preserve"> Washington State Labor and Industries</w:t>
      </w:r>
      <w:r w:rsidRPr="00322949">
        <w:rPr>
          <w:rStyle w:val="Hyperlink"/>
          <w:rFonts w:ascii="Arial" w:hAnsi="Arial" w:cs="Arial"/>
          <w:color w:val="auto"/>
          <w:u w:val="none"/>
        </w:rPr>
        <w:t xml:space="preserve"> </w:t>
      </w:r>
      <w:hyperlink r:id="rId121" w:history="1">
        <w:r w:rsidRPr="00322949">
          <w:rPr>
            <w:rStyle w:val="Hyperlink"/>
            <w:rFonts w:ascii="Arial" w:hAnsi="Arial" w:cs="Arial"/>
            <w:color w:val="auto"/>
            <w:u w:val="none"/>
          </w:rPr>
          <w:t>provided guidance</w:t>
        </w:r>
      </w:hyperlink>
      <w:r w:rsidRPr="00322949">
        <w:rPr>
          <w:rStyle w:val="Hyperlink"/>
          <w:rFonts w:ascii="Arial" w:hAnsi="Arial" w:cs="Arial"/>
          <w:color w:val="auto"/>
          <w:u w:val="none"/>
        </w:rPr>
        <w:t xml:space="preserve"> that states if</w:t>
      </w:r>
      <w:r w:rsidRPr="00322949">
        <w:rPr>
          <w:rFonts w:ascii="Arial" w:hAnsi="Arial" w:cs="Arial"/>
        </w:rPr>
        <w:t xml:space="preserve"> an employer requires employees to receive a COVID-19 vaccine, the time associated with receiving the vaccine must be considered hours worked and overtime must be paid under the Washington State Minimum Wage Act.</w:t>
      </w:r>
    </w:p>
    <w:p w14:paraId="6C5EEBC5" w14:textId="77777777" w:rsidR="00322949" w:rsidRPr="00322949" w:rsidRDefault="00322949" w:rsidP="00322949">
      <w:pPr>
        <w:rPr>
          <w:rFonts w:ascii="Arial" w:eastAsia="Times New Roman" w:hAnsi="Arial" w:cs="Arial"/>
          <w:color w:val="000000"/>
        </w:rPr>
      </w:pPr>
      <w:r w:rsidRPr="00322949">
        <w:rPr>
          <w:rFonts w:ascii="Arial" w:hAnsi="Arial" w:cs="Arial"/>
        </w:rPr>
        <w:lastRenderedPageBreak/>
        <w:t xml:space="preserve">We are proposing to amend WAC 357-28-265 to state leave with pay during the employee’s regular work schedule </w:t>
      </w:r>
      <w:r w:rsidRPr="00322949">
        <w:rPr>
          <w:rFonts w:ascii="Arial" w:hAnsi="Arial" w:cs="Arial"/>
          <w:b/>
          <w:bCs/>
        </w:rPr>
        <w:t>is not</w:t>
      </w:r>
      <w:r w:rsidRPr="00322949">
        <w:rPr>
          <w:rFonts w:ascii="Arial" w:hAnsi="Arial" w:cs="Arial"/>
        </w:rPr>
        <w:t xml:space="preserve"> considered time worked </w:t>
      </w:r>
      <w:r w:rsidRPr="00322949">
        <w:rPr>
          <w:rFonts w:ascii="Arial" w:hAnsi="Arial" w:cs="Arial"/>
          <w:b/>
          <w:bCs/>
        </w:rPr>
        <w:t>except</w:t>
      </w:r>
      <w:r w:rsidRPr="00322949">
        <w:rPr>
          <w:rFonts w:ascii="Arial" w:hAnsi="Arial" w:cs="Arial"/>
        </w:rPr>
        <w:t xml:space="preserve"> when leave is taken to travel and receive each dose or booster of COVID-19 vaccination in accordance with </w:t>
      </w:r>
      <w:r w:rsidRPr="00322949">
        <w:rPr>
          <w:rFonts w:ascii="Arial" w:eastAsia="Times New Roman" w:hAnsi="Arial" w:cs="Arial"/>
          <w:color w:val="000000"/>
        </w:rPr>
        <w:t>WAC 357-31-325 and 357-31-326.</w:t>
      </w:r>
    </w:p>
    <w:p w14:paraId="1087E5F9" w14:textId="77777777" w:rsidR="00322949" w:rsidRDefault="00322949" w:rsidP="00322949">
      <w:pPr>
        <w:spacing w:after="0"/>
        <w:rPr>
          <w:rFonts w:ascii="Arial" w:hAnsi="Arial" w:cs="Arial"/>
        </w:rPr>
      </w:pPr>
    </w:p>
    <w:p w14:paraId="488E293E" w14:textId="401A9706" w:rsidR="00322949" w:rsidRDefault="00870E8F" w:rsidP="00322949">
      <w:pPr>
        <w:spacing w:after="0"/>
        <w:rPr>
          <w:rFonts w:ascii="Arial" w:hAnsi="Arial" w:cs="Arial"/>
        </w:rPr>
      </w:pPr>
      <w:r>
        <w:rPr>
          <w:rFonts w:ascii="Arial" w:hAnsi="Arial" w:cs="Arial"/>
        </w:rPr>
        <w:t xml:space="preserve">We are planning to propose permanent adoption at the November 14, 2023, Director’s meeting. </w:t>
      </w:r>
      <w:r w:rsidR="00322949">
        <w:rPr>
          <w:rFonts w:ascii="Arial" w:hAnsi="Arial" w:cs="Arial"/>
        </w:rPr>
        <w:t>Lead: Brittany Trujillo</w:t>
      </w:r>
    </w:p>
    <w:p w14:paraId="3799AB15" w14:textId="77777777" w:rsidR="00322949" w:rsidRDefault="00322949" w:rsidP="00F740A3">
      <w:pPr>
        <w:spacing w:after="0"/>
      </w:pPr>
    </w:p>
    <w:p w14:paraId="733120DF" w14:textId="77777777" w:rsidR="00F740A3" w:rsidRDefault="00F740A3" w:rsidP="00F740A3">
      <w:pPr>
        <w:spacing w:after="0"/>
      </w:pPr>
    </w:p>
    <w:p w14:paraId="5A4ABD31" w14:textId="0C654472" w:rsidR="00322949" w:rsidRPr="00322949" w:rsidRDefault="00322949" w:rsidP="00F740A3">
      <w:pPr>
        <w:spacing w:after="0"/>
        <w:rPr>
          <w:rFonts w:ascii="Arial" w:hAnsi="Arial" w:cs="Arial"/>
          <w:b/>
          <w:szCs w:val="24"/>
          <w:u w:val="single"/>
        </w:rPr>
      </w:pPr>
      <w:r w:rsidRPr="004001E1">
        <w:rPr>
          <w:rFonts w:ascii="Arial" w:hAnsi="Arial" w:cs="Arial"/>
          <w:szCs w:val="24"/>
          <w:u w:val="single"/>
        </w:rPr>
        <w:t>AMENDATORY SECTION</w:t>
      </w:r>
      <w:r w:rsidRPr="004001E1">
        <w:rPr>
          <w:rFonts w:ascii="Arial" w:hAnsi="Arial" w:cs="Arial"/>
          <w:szCs w:val="24"/>
        </w:rPr>
        <w:t> </w:t>
      </w:r>
    </w:p>
    <w:p w14:paraId="0554BEA0" w14:textId="23FF8ECD" w:rsidR="00322949" w:rsidRPr="00322949" w:rsidRDefault="00322949" w:rsidP="00322949">
      <w:pPr>
        <w:pStyle w:val="Heading3"/>
      </w:pPr>
      <w:r w:rsidRPr="004001E1">
        <w:t xml:space="preserve">WAC 357-28-265  For the purpose of computing eligibility for overtime compensation, are holidays and leave with pay considered time worked?  </w:t>
      </w:r>
    </w:p>
    <w:p w14:paraId="1F21B7E0" w14:textId="77777777" w:rsidR="00322949" w:rsidRPr="004001E1" w:rsidRDefault="00322949" w:rsidP="00322949">
      <w:pPr>
        <w:rPr>
          <w:rFonts w:ascii="Arial" w:hAnsi="Arial" w:cs="Arial"/>
          <w:szCs w:val="24"/>
        </w:rPr>
      </w:pPr>
      <w:r w:rsidRPr="004001E1">
        <w:rPr>
          <w:rFonts w:ascii="Arial" w:hAnsi="Arial" w:cs="Arial"/>
          <w:szCs w:val="24"/>
        </w:rPr>
        <w:t xml:space="preserve">For purposes of computing eligibility for overtime compensation, paid holidays during the employee's regular work schedule </w:t>
      </w:r>
      <w:r w:rsidRPr="004001E1">
        <w:rPr>
          <w:rFonts w:ascii="Arial" w:hAnsi="Arial" w:cs="Arial"/>
          <w:b/>
          <w:szCs w:val="24"/>
        </w:rPr>
        <w:t>are</w:t>
      </w:r>
      <w:r w:rsidRPr="004001E1">
        <w:rPr>
          <w:rFonts w:ascii="Arial" w:hAnsi="Arial" w:cs="Arial"/>
          <w:szCs w:val="24"/>
        </w:rPr>
        <w:t xml:space="preserve"> considered time worked. Leave with pay during the employee's regular work schedule is </w:t>
      </w:r>
      <w:r w:rsidRPr="004001E1">
        <w:rPr>
          <w:rFonts w:ascii="Arial" w:hAnsi="Arial" w:cs="Arial"/>
          <w:b/>
          <w:szCs w:val="24"/>
        </w:rPr>
        <w:t>not</w:t>
      </w:r>
      <w:r w:rsidRPr="004001E1">
        <w:rPr>
          <w:rFonts w:ascii="Arial" w:hAnsi="Arial" w:cs="Arial"/>
          <w:szCs w:val="24"/>
        </w:rPr>
        <w:t xml:space="preserve"> considered time worked </w:t>
      </w:r>
      <w:r w:rsidRPr="004001E1">
        <w:rPr>
          <w:rFonts w:ascii="Arial" w:hAnsi="Arial" w:cs="Arial"/>
          <w:szCs w:val="24"/>
          <w:u w:val="single"/>
        </w:rPr>
        <w:t>except for:</w:t>
      </w:r>
    </w:p>
    <w:p w14:paraId="6B97D39E" w14:textId="77777777" w:rsidR="00322949" w:rsidRPr="004001E1" w:rsidRDefault="00322949" w:rsidP="00322949">
      <w:pPr>
        <w:ind w:firstLine="720"/>
        <w:rPr>
          <w:rFonts w:ascii="Arial" w:hAnsi="Arial" w:cs="Arial"/>
          <w:szCs w:val="24"/>
        </w:rPr>
      </w:pPr>
      <w:r w:rsidRPr="004001E1">
        <w:rPr>
          <w:rFonts w:ascii="Arial" w:hAnsi="Arial" w:cs="Arial"/>
          <w:szCs w:val="24"/>
          <w:u w:val="single"/>
        </w:rPr>
        <w:t>(1) When leave is taken to travel and receive each dose or booster of COVID-19 vaccine in accordance with WAC 357-31-325; or</w:t>
      </w:r>
    </w:p>
    <w:p w14:paraId="3A9E33BF" w14:textId="77777777" w:rsidR="00322949" w:rsidRPr="004001E1" w:rsidRDefault="00322949" w:rsidP="00322949">
      <w:pPr>
        <w:ind w:firstLine="720"/>
        <w:rPr>
          <w:rFonts w:ascii="Arial" w:hAnsi="Arial" w:cs="Arial"/>
          <w:szCs w:val="24"/>
        </w:rPr>
      </w:pPr>
      <w:r w:rsidRPr="004001E1">
        <w:rPr>
          <w:rFonts w:ascii="Arial" w:hAnsi="Arial" w:cs="Arial"/>
          <w:szCs w:val="24"/>
          <w:u w:val="single"/>
        </w:rPr>
        <w:t>(2) When leave is taken to receive each dose or booster of COVID-19 vaccine in accordance with WAC 357-31-326</w:t>
      </w:r>
      <w:r w:rsidRPr="004001E1">
        <w:rPr>
          <w:rFonts w:ascii="Arial" w:hAnsi="Arial" w:cs="Arial"/>
          <w:szCs w:val="24"/>
        </w:rPr>
        <w:t>.</w:t>
      </w:r>
    </w:p>
    <w:p w14:paraId="6B7B7F75" w14:textId="77777777" w:rsidR="00322949" w:rsidRPr="00322949" w:rsidRDefault="00322949" w:rsidP="00322949"/>
    <w:bookmarkEnd w:id="1"/>
    <w:sectPr w:rsidR="00322949" w:rsidRPr="00322949">
      <w:headerReference w:type="default" r:id="rId122"/>
      <w:footerReference w:type="default" r:id="rId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F0D1" w14:textId="77777777" w:rsidR="009B14B6" w:rsidRDefault="009B14B6" w:rsidP="0048107C">
      <w:pPr>
        <w:spacing w:after="0" w:line="240" w:lineRule="auto"/>
      </w:pPr>
      <w:r>
        <w:separator/>
      </w:r>
    </w:p>
  </w:endnote>
  <w:endnote w:type="continuationSeparator" w:id="0">
    <w:p w14:paraId="343BA561" w14:textId="77777777" w:rsidR="009B14B6" w:rsidRDefault="009B14B6" w:rsidP="0048107C">
      <w:pPr>
        <w:spacing w:after="0" w:line="240" w:lineRule="auto"/>
      </w:pPr>
      <w:r>
        <w:continuationSeparator/>
      </w:r>
    </w:p>
  </w:endnote>
  <w:endnote w:type="continuationNotice" w:id="1">
    <w:p w14:paraId="2C294BA1" w14:textId="77777777" w:rsidR="009B14B6" w:rsidRDefault="009B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4F9E2E41"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E328" w14:textId="77777777" w:rsidR="009B14B6" w:rsidRDefault="009B14B6" w:rsidP="0048107C">
      <w:pPr>
        <w:spacing w:after="0" w:line="240" w:lineRule="auto"/>
      </w:pPr>
      <w:r>
        <w:separator/>
      </w:r>
    </w:p>
  </w:footnote>
  <w:footnote w:type="continuationSeparator" w:id="0">
    <w:p w14:paraId="265BD5EF" w14:textId="77777777" w:rsidR="009B14B6" w:rsidRDefault="009B14B6" w:rsidP="0048107C">
      <w:pPr>
        <w:spacing w:after="0" w:line="240" w:lineRule="auto"/>
      </w:pPr>
      <w:r>
        <w:continuationSeparator/>
      </w:r>
    </w:p>
  </w:footnote>
  <w:footnote w:type="continuationNotice" w:id="1">
    <w:p w14:paraId="085D421A" w14:textId="77777777" w:rsidR="009B14B6" w:rsidRDefault="009B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08883F23" w:rsidR="00735C8E" w:rsidRPr="009B216F" w:rsidRDefault="00905537" w:rsidP="009B216F">
    <w:pPr>
      <w:pStyle w:val="Heading1"/>
      <w:jc w:val="center"/>
      <w:rPr>
        <w:sz w:val="32"/>
        <w:szCs w:val="36"/>
      </w:rPr>
    </w:pPr>
    <w:sdt>
      <w:sdtPr>
        <w:rPr>
          <w:sz w:val="32"/>
          <w:szCs w:val="36"/>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56268A" w:rsidRPr="009B216F">
          <w:rPr>
            <w:sz w:val="32"/>
            <w:szCs w:val="36"/>
          </w:rPr>
          <w:t xml:space="preserve">Rule Review Items – </w:t>
        </w:r>
        <w:r w:rsidR="00497A52">
          <w:rPr>
            <w:sz w:val="32"/>
            <w:szCs w:val="36"/>
          </w:rPr>
          <w:t>October 10</w:t>
        </w:r>
        <w:r w:rsidR="0017587F" w:rsidRPr="009B216F">
          <w:rPr>
            <w:sz w:val="32"/>
            <w:szCs w:val="36"/>
          </w:rPr>
          <w:t>,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04F"/>
    <w:multiLevelType w:val="hybridMultilevel"/>
    <w:tmpl w:val="41269C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95E11E7"/>
    <w:multiLevelType w:val="hybridMultilevel"/>
    <w:tmpl w:val="ECF0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6EF6"/>
    <w:multiLevelType w:val="hybridMultilevel"/>
    <w:tmpl w:val="07F45686"/>
    <w:lvl w:ilvl="0" w:tplc="BA12D64E">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4D4EED"/>
    <w:multiLevelType w:val="hybridMultilevel"/>
    <w:tmpl w:val="888A82E4"/>
    <w:lvl w:ilvl="0" w:tplc="F8F0B35C">
      <w:start w:val="1"/>
      <w:numFmt w:val="decimal"/>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542C9"/>
    <w:multiLevelType w:val="hybridMultilevel"/>
    <w:tmpl w:val="EB9C867A"/>
    <w:lvl w:ilvl="0" w:tplc="578E55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63050"/>
    <w:multiLevelType w:val="hybridMultilevel"/>
    <w:tmpl w:val="7E6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C7EFF"/>
    <w:multiLevelType w:val="hybridMultilevel"/>
    <w:tmpl w:val="A0462138"/>
    <w:lvl w:ilvl="0" w:tplc="53F438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557D5"/>
    <w:multiLevelType w:val="hybridMultilevel"/>
    <w:tmpl w:val="F3AC969E"/>
    <w:lvl w:ilvl="0" w:tplc="6096BED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B09AE"/>
    <w:multiLevelType w:val="hybridMultilevel"/>
    <w:tmpl w:val="FF2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33FA5"/>
    <w:multiLevelType w:val="hybridMultilevel"/>
    <w:tmpl w:val="88D03834"/>
    <w:lvl w:ilvl="0" w:tplc="DDEAE32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B35E95"/>
    <w:multiLevelType w:val="hybridMultilevel"/>
    <w:tmpl w:val="935E1B38"/>
    <w:lvl w:ilvl="0" w:tplc="13D0787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964F00"/>
    <w:multiLevelType w:val="hybridMultilevel"/>
    <w:tmpl w:val="F502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A112D"/>
    <w:multiLevelType w:val="hybridMultilevel"/>
    <w:tmpl w:val="A322D3DA"/>
    <w:lvl w:ilvl="0" w:tplc="13CCF150">
      <w:start w:val="1"/>
      <w:numFmt w:val="decimal"/>
      <w:lvlText w:val="(%1)"/>
      <w:lvlJc w:val="left"/>
      <w:pPr>
        <w:ind w:left="720" w:hanging="360"/>
      </w:pPr>
      <w:rPr>
        <w:rFonts w:hint="default"/>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84356"/>
    <w:multiLevelType w:val="hybridMultilevel"/>
    <w:tmpl w:val="8FFC4402"/>
    <w:lvl w:ilvl="0" w:tplc="578E55D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1E4766"/>
    <w:multiLevelType w:val="hybridMultilevel"/>
    <w:tmpl w:val="CB122F10"/>
    <w:lvl w:ilvl="0" w:tplc="1B0CF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461D0"/>
    <w:multiLevelType w:val="hybridMultilevel"/>
    <w:tmpl w:val="935E1B3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4C5DC0"/>
    <w:multiLevelType w:val="hybridMultilevel"/>
    <w:tmpl w:val="A626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31AD5"/>
    <w:multiLevelType w:val="hybridMultilevel"/>
    <w:tmpl w:val="23B4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01885"/>
    <w:multiLevelType w:val="hybridMultilevel"/>
    <w:tmpl w:val="1F6251BC"/>
    <w:lvl w:ilvl="0" w:tplc="2BD845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51CF5"/>
    <w:multiLevelType w:val="hybridMultilevel"/>
    <w:tmpl w:val="A6E63D86"/>
    <w:lvl w:ilvl="0" w:tplc="C29A05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7089">
    <w:abstractNumId w:val="8"/>
  </w:num>
  <w:num w:numId="2" w16cid:durableId="867375328">
    <w:abstractNumId w:val="5"/>
  </w:num>
  <w:num w:numId="3" w16cid:durableId="1517497241">
    <w:abstractNumId w:val="18"/>
  </w:num>
  <w:num w:numId="4" w16cid:durableId="457728093">
    <w:abstractNumId w:val="11"/>
  </w:num>
  <w:num w:numId="5" w16cid:durableId="681468166">
    <w:abstractNumId w:val="0"/>
  </w:num>
  <w:num w:numId="6" w16cid:durableId="1945073628">
    <w:abstractNumId w:val="9"/>
  </w:num>
  <w:num w:numId="7" w16cid:durableId="2048525409">
    <w:abstractNumId w:val="13"/>
  </w:num>
  <w:num w:numId="8" w16cid:durableId="439565756">
    <w:abstractNumId w:val="2"/>
  </w:num>
  <w:num w:numId="9" w16cid:durableId="576673180">
    <w:abstractNumId w:val="12"/>
  </w:num>
  <w:num w:numId="10" w16cid:durableId="2131582753">
    <w:abstractNumId w:val="10"/>
  </w:num>
  <w:num w:numId="11" w16cid:durableId="620382096">
    <w:abstractNumId w:val="15"/>
  </w:num>
  <w:num w:numId="12" w16cid:durableId="829099292">
    <w:abstractNumId w:val="6"/>
  </w:num>
  <w:num w:numId="13" w16cid:durableId="1541354389">
    <w:abstractNumId w:val="14"/>
  </w:num>
  <w:num w:numId="14" w16cid:durableId="241185007">
    <w:abstractNumId w:val="17"/>
  </w:num>
  <w:num w:numId="15" w16cid:durableId="2123959365">
    <w:abstractNumId w:val="16"/>
  </w:num>
  <w:num w:numId="16" w16cid:durableId="794718771">
    <w:abstractNumId w:val="1"/>
  </w:num>
  <w:num w:numId="17" w16cid:durableId="1382367901">
    <w:abstractNumId w:val="7"/>
  </w:num>
  <w:num w:numId="18" w16cid:durableId="762455860">
    <w:abstractNumId w:val="19"/>
  </w:num>
  <w:num w:numId="19" w16cid:durableId="67043955">
    <w:abstractNumId w:val="3"/>
  </w:num>
  <w:num w:numId="20" w16cid:durableId="142333398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zNDUwNAaSphZmJko6SsGpxcWZ+XkgBYYmtQAod9I1LQAAAA=="/>
  </w:docVars>
  <w:rsids>
    <w:rsidRoot w:val="000D5254"/>
    <w:rsid w:val="000000BF"/>
    <w:rsid w:val="000002BC"/>
    <w:rsid w:val="000018CF"/>
    <w:rsid w:val="000019D1"/>
    <w:rsid w:val="00002D77"/>
    <w:rsid w:val="00005C73"/>
    <w:rsid w:val="00006286"/>
    <w:rsid w:val="00006831"/>
    <w:rsid w:val="0001374A"/>
    <w:rsid w:val="0001389C"/>
    <w:rsid w:val="00016357"/>
    <w:rsid w:val="0001673D"/>
    <w:rsid w:val="000215DB"/>
    <w:rsid w:val="00022C06"/>
    <w:rsid w:val="00023C35"/>
    <w:rsid w:val="00024BD7"/>
    <w:rsid w:val="00024DA6"/>
    <w:rsid w:val="000261B6"/>
    <w:rsid w:val="000321AF"/>
    <w:rsid w:val="00044611"/>
    <w:rsid w:val="00045A2E"/>
    <w:rsid w:val="000461C8"/>
    <w:rsid w:val="000465D9"/>
    <w:rsid w:val="00051639"/>
    <w:rsid w:val="00053261"/>
    <w:rsid w:val="00053690"/>
    <w:rsid w:val="00053835"/>
    <w:rsid w:val="000541DA"/>
    <w:rsid w:val="000548CB"/>
    <w:rsid w:val="00057D06"/>
    <w:rsid w:val="00061479"/>
    <w:rsid w:val="00063441"/>
    <w:rsid w:val="0006425C"/>
    <w:rsid w:val="0006493A"/>
    <w:rsid w:val="00067438"/>
    <w:rsid w:val="00067956"/>
    <w:rsid w:val="00070EE3"/>
    <w:rsid w:val="00073012"/>
    <w:rsid w:val="00077F97"/>
    <w:rsid w:val="000821A6"/>
    <w:rsid w:val="0008308A"/>
    <w:rsid w:val="00083305"/>
    <w:rsid w:val="0008370E"/>
    <w:rsid w:val="000845DD"/>
    <w:rsid w:val="00085023"/>
    <w:rsid w:val="00085097"/>
    <w:rsid w:val="00085DB7"/>
    <w:rsid w:val="00087BA7"/>
    <w:rsid w:val="00090AAB"/>
    <w:rsid w:val="00091793"/>
    <w:rsid w:val="0009185E"/>
    <w:rsid w:val="000920C2"/>
    <w:rsid w:val="000925CC"/>
    <w:rsid w:val="00095975"/>
    <w:rsid w:val="00095D72"/>
    <w:rsid w:val="000A01DC"/>
    <w:rsid w:val="000A1C34"/>
    <w:rsid w:val="000A27A3"/>
    <w:rsid w:val="000A2B98"/>
    <w:rsid w:val="000A3F4B"/>
    <w:rsid w:val="000A5FF8"/>
    <w:rsid w:val="000A6100"/>
    <w:rsid w:val="000A6B2B"/>
    <w:rsid w:val="000A75FC"/>
    <w:rsid w:val="000A7B09"/>
    <w:rsid w:val="000A7FF7"/>
    <w:rsid w:val="000B0A43"/>
    <w:rsid w:val="000B3C21"/>
    <w:rsid w:val="000B3CE8"/>
    <w:rsid w:val="000B506C"/>
    <w:rsid w:val="000B5334"/>
    <w:rsid w:val="000B546A"/>
    <w:rsid w:val="000B54F0"/>
    <w:rsid w:val="000B5645"/>
    <w:rsid w:val="000B64D4"/>
    <w:rsid w:val="000B7295"/>
    <w:rsid w:val="000C067C"/>
    <w:rsid w:val="000C3340"/>
    <w:rsid w:val="000C3E65"/>
    <w:rsid w:val="000C480D"/>
    <w:rsid w:val="000C487D"/>
    <w:rsid w:val="000C5812"/>
    <w:rsid w:val="000C630A"/>
    <w:rsid w:val="000C755C"/>
    <w:rsid w:val="000D0148"/>
    <w:rsid w:val="000D192C"/>
    <w:rsid w:val="000D5254"/>
    <w:rsid w:val="000D52EA"/>
    <w:rsid w:val="000D60CB"/>
    <w:rsid w:val="000D628C"/>
    <w:rsid w:val="000D7F03"/>
    <w:rsid w:val="000E1683"/>
    <w:rsid w:val="000E1774"/>
    <w:rsid w:val="000E27CE"/>
    <w:rsid w:val="000E2FB8"/>
    <w:rsid w:val="000E335C"/>
    <w:rsid w:val="000E3A3F"/>
    <w:rsid w:val="000E55F5"/>
    <w:rsid w:val="000E5B22"/>
    <w:rsid w:val="000E5CEB"/>
    <w:rsid w:val="000E77F5"/>
    <w:rsid w:val="000F10B9"/>
    <w:rsid w:val="000F2004"/>
    <w:rsid w:val="000F306A"/>
    <w:rsid w:val="000F4D9A"/>
    <w:rsid w:val="001049C9"/>
    <w:rsid w:val="001057C6"/>
    <w:rsid w:val="00106A8E"/>
    <w:rsid w:val="00112692"/>
    <w:rsid w:val="00113F07"/>
    <w:rsid w:val="00114790"/>
    <w:rsid w:val="00120080"/>
    <w:rsid w:val="0012099F"/>
    <w:rsid w:val="0012562E"/>
    <w:rsid w:val="00125B2A"/>
    <w:rsid w:val="0013431B"/>
    <w:rsid w:val="00134DD6"/>
    <w:rsid w:val="00134F6C"/>
    <w:rsid w:val="00135385"/>
    <w:rsid w:val="0013750F"/>
    <w:rsid w:val="00137FA9"/>
    <w:rsid w:val="00141100"/>
    <w:rsid w:val="00141F89"/>
    <w:rsid w:val="0014230F"/>
    <w:rsid w:val="00143003"/>
    <w:rsid w:val="0014588D"/>
    <w:rsid w:val="00145A20"/>
    <w:rsid w:val="0014778F"/>
    <w:rsid w:val="00147D04"/>
    <w:rsid w:val="001500C0"/>
    <w:rsid w:val="001504DA"/>
    <w:rsid w:val="00156C7E"/>
    <w:rsid w:val="00156D77"/>
    <w:rsid w:val="00163225"/>
    <w:rsid w:val="00164788"/>
    <w:rsid w:val="00164DFC"/>
    <w:rsid w:val="00165DAC"/>
    <w:rsid w:val="0016638D"/>
    <w:rsid w:val="00167FF1"/>
    <w:rsid w:val="00171870"/>
    <w:rsid w:val="00173C2E"/>
    <w:rsid w:val="00174BCB"/>
    <w:rsid w:val="0017587F"/>
    <w:rsid w:val="001761C6"/>
    <w:rsid w:val="00177CF4"/>
    <w:rsid w:val="00180771"/>
    <w:rsid w:val="00182165"/>
    <w:rsid w:val="00184866"/>
    <w:rsid w:val="001853B4"/>
    <w:rsid w:val="00185D2B"/>
    <w:rsid w:val="00185D42"/>
    <w:rsid w:val="00190BE2"/>
    <w:rsid w:val="0019120A"/>
    <w:rsid w:val="0019178E"/>
    <w:rsid w:val="00191FF6"/>
    <w:rsid w:val="0019220A"/>
    <w:rsid w:val="0019251F"/>
    <w:rsid w:val="00193E8C"/>
    <w:rsid w:val="001961CE"/>
    <w:rsid w:val="00197B88"/>
    <w:rsid w:val="00197CFD"/>
    <w:rsid w:val="001A3960"/>
    <w:rsid w:val="001A3C5B"/>
    <w:rsid w:val="001A658B"/>
    <w:rsid w:val="001B19A4"/>
    <w:rsid w:val="001B25E7"/>
    <w:rsid w:val="001B2B81"/>
    <w:rsid w:val="001B45F0"/>
    <w:rsid w:val="001B5A60"/>
    <w:rsid w:val="001B6D6B"/>
    <w:rsid w:val="001C0EC2"/>
    <w:rsid w:val="001C1989"/>
    <w:rsid w:val="001C2697"/>
    <w:rsid w:val="001C3E6B"/>
    <w:rsid w:val="001C4F55"/>
    <w:rsid w:val="001C525C"/>
    <w:rsid w:val="001C61C7"/>
    <w:rsid w:val="001C703F"/>
    <w:rsid w:val="001C736E"/>
    <w:rsid w:val="001C7B12"/>
    <w:rsid w:val="001D1DCE"/>
    <w:rsid w:val="001D20AF"/>
    <w:rsid w:val="001D3903"/>
    <w:rsid w:val="001D3BE5"/>
    <w:rsid w:val="001D4437"/>
    <w:rsid w:val="001D4A74"/>
    <w:rsid w:val="001D5001"/>
    <w:rsid w:val="001D6424"/>
    <w:rsid w:val="001E14FA"/>
    <w:rsid w:val="001E257F"/>
    <w:rsid w:val="001E2AD7"/>
    <w:rsid w:val="001E3008"/>
    <w:rsid w:val="001E606D"/>
    <w:rsid w:val="001F1800"/>
    <w:rsid w:val="001F6403"/>
    <w:rsid w:val="00200152"/>
    <w:rsid w:val="00203C84"/>
    <w:rsid w:val="00203E47"/>
    <w:rsid w:val="00204044"/>
    <w:rsid w:val="002076A7"/>
    <w:rsid w:val="002153E2"/>
    <w:rsid w:val="00215FA3"/>
    <w:rsid w:val="00217636"/>
    <w:rsid w:val="00221F79"/>
    <w:rsid w:val="0022585E"/>
    <w:rsid w:val="00226197"/>
    <w:rsid w:val="00226CC3"/>
    <w:rsid w:val="002311FC"/>
    <w:rsid w:val="0023283F"/>
    <w:rsid w:val="00232B57"/>
    <w:rsid w:val="002330A6"/>
    <w:rsid w:val="0023408A"/>
    <w:rsid w:val="0023473C"/>
    <w:rsid w:val="00234D43"/>
    <w:rsid w:val="00234FEE"/>
    <w:rsid w:val="00235286"/>
    <w:rsid w:val="00237580"/>
    <w:rsid w:val="00237998"/>
    <w:rsid w:val="00237A78"/>
    <w:rsid w:val="002403D4"/>
    <w:rsid w:val="002410BE"/>
    <w:rsid w:val="00241E4D"/>
    <w:rsid w:val="00244590"/>
    <w:rsid w:val="00244F20"/>
    <w:rsid w:val="0024598B"/>
    <w:rsid w:val="00246001"/>
    <w:rsid w:val="00247222"/>
    <w:rsid w:val="00250B5D"/>
    <w:rsid w:val="002528D1"/>
    <w:rsid w:val="00253E57"/>
    <w:rsid w:val="0025459D"/>
    <w:rsid w:val="00256023"/>
    <w:rsid w:val="0025704C"/>
    <w:rsid w:val="00257E3B"/>
    <w:rsid w:val="00260A73"/>
    <w:rsid w:val="00260D2F"/>
    <w:rsid w:val="0026316A"/>
    <w:rsid w:val="0026336E"/>
    <w:rsid w:val="002636A7"/>
    <w:rsid w:val="00265735"/>
    <w:rsid w:val="0027090D"/>
    <w:rsid w:val="00270F60"/>
    <w:rsid w:val="00272F05"/>
    <w:rsid w:val="00275A10"/>
    <w:rsid w:val="00276DE0"/>
    <w:rsid w:val="00280968"/>
    <w:rsid w:val="0028175E"/>
    <w:rsid w:val="00283C4F"/>
    <w:rsid w:val="0028474F"/>
    <w:rsid w:val="002852AC"/>
    <w:rsid w:val="00287233"/>
    <w:rsid w:val="00287583"/>
    <w:rsid w:val="00290F2E"/>
    <w:rsid w:val="00292595"/>
    <w:rsid w:val="00294820"/>
    <w:rsid w:val="002959A7"/>
    <w:rsid w:val="00296198"/>
    <w:rsid w:val="0029663E"/>
    <w:rsid w:val="002A1332"/>
    <w:rsid w:val="002A238F"/>
    <w:rsid w:val="002A28E2"/>
    <w:rsid w:val="002A3338"/>
    <w:rsid w:val="002A3F5D"/>
    <w:rsid w:val="002A555B"/>
    <w:rsid w:val="002A59CA"/>
    <w:rsid w:val="002A749F"/>
    <w:rsid w:val="002B1F8F"/>
    <w:rsid w:val="002B56CE"/>
    <w:rsid w:val="002B7BCA"/>
    <w:rsid w:val="002B7EB0"/>
    <w:rsid w:val="002C176C"/>
    <w:rsid w:val="002C2052"/>
    <w:rsid w:val="002C3794"/>
    <w:rsid w:val="002C3E7C"/>
    <w:rsid w:val="002C469F"/>
    <w:rsid w:val="002C48CA"/>
    <w:rsid w:val="002C4904"/>
    <w:rsid w:val="002C52EF"/>
    <w:rsid w:val="002C55B1"/>
    <w:rsid w:val="002C5F3B"/>
    <w:rsid w:val="002C6571"/>
    <w:rsid w:val="002C7014"/>
    <w:rsid w:val="002C71FA"/>
    <w:rsid w:val="002D02E3"/>
    <w:rsid w:val="002D0DBF"/>
    <w:rsid w:val="002D3A1B"/>
    <w:rsid w:val="002D4ECD"/>
    <w:rsid w:val="002D5B72"/>
    <w:rsid w:val="002D5C0A"/>
    <w:rsid w:val="002E04E9"/>
    <w:rsid w:val="002E15BF"/>
    <w:rsid w:val="002E196A"/>
    <w:rsid w:val="002E35C8"/>
    <w:rsid w:val="002E519B"/>
    <w:rsid w:val="002E54A3"/>
    <w:rsid w:val="002E5755"/>
    <w:rsid w:val="002E6489"/>
    <w:rsid w:val="002F2165"/>
    <w:rsid w:val="002F5988"/>
    <w:rsid w:val="002F598A"/>
    <w:rsid w:val="002F5B35"/>
    <w:rsid w:val="002F72FB"/>
    <w:rsid w:val="002F7A61"/>
    <w:rsid w:val="003009EE"/>
    <w:rsid w:val="00302F0A"/>
    <w:rsid w:val="003031B0"/>
    <w:rsid w:val="00303660"/>
    <w:rsid w:val="00303709"/>
    <w:rsid w:val="0031103C"/>
    <w:rsid w:val="003113B2"/>
    <w:rsid w:val="003157E5"/>
    <w:rsid w:val="003173D3"/>
    <w:rsid w:val="00317586"/>
    <w:rsid w:val="003217A0"/>
    <w:rsid w:val="00321FCD"/>
    <w:rsid w:val="00322949"/>
    <w:rsid w:val="00322DBB"/>
    <w:rsid w:val="00324434"/>
    <w:rsid w:val="003261F7"/>
    <w:rsid w:val="00326878"/>
    <w:rsid w:val="00326BDC"/>
    <w:rsid w:val="00327BF3"/>
    <w:rsid w:val="0033090D"/>
    <w:rsid w:val="00330A3E"/>
    <w:rsid w:val="00330A5F"/>
    <w:rsid w:val="00331625"/>
    <w:rsid w:val="00335083"/>
    <w:rsid w:val="003350D5"/>
    <w:rsid w:val="003358F7"/>
    <w:rsid w:val="003359CA"/>
    <w:rsid w:val="00340CF1"/>
    <w:rsid w:val="00350D03"/>
    <w:rsid w:val="003528A5"/>
    <w:rsid w:val="003538E2"/>
    <w:rsid w:val="00354BDA"/>
    <w:rsid w:val="003552F9"/>
    <w:rsid w:val="00357273"/>
    <w:rsid w:val="00361DED"/>
    <w:rsid w:val="003629A2"/>
    <w:rsid w:val="00363B4A"/>
    <w:rsid w:val="00364696"/>
    <w:rsid w:val="003648C6"/>
    <w:rsid w:val="003650CF"/>
    <w:rsid w:val="00366BFC"/>
    <w:rsid w:val="00370D4F"/>
    <w:rsid w:val="003726B2"/>
    <w:rsid w:val="00372E09"/>
    <w:rsid w:val="00374AB0"/>
    <w:rsid w:val="00376C48"/>
    <w:rsid w:val="0038022B"/>
    <w:rsid w:val="003830B0"/>
    <w:rsid w:val="0038374B"/>
    <w:rsid w:val="00383B5F"/>
    <w:rsid w:val="00383C7D"/>
    <w:rsid w:val="00385163"/>
    <w:rsid w:val="00390E88"/>
    <w:rsid w:val="0039170D"/>
    <w:rsid w:val="00392582"/>
    <w:rsid w:val="00392873"/>
    <w:rsid w:val="00394CE5"/>
    <w:rsid w:val="00395473"/>
    <w:rsid w:val="00395FA1"/>
    <w:rsid w:val="00397A30"/>
    <w:rsid w:val="003A2554"/>
    <w:rsid w:val="003A4A87"/>
    <w:rsid w:val="003A5181"/>
    <w:rsid w:val="003A5C32"/>
    <w:rsid w:val="003B100C"/>
    <w:rsid w:val="003B2683"/>
    <w:rsid w:val="003B2A5B"/>
    <w:rsid w:val="003B3C58"/>
    <w:rsid w:val="003B3D57"/>
    <w:rsid w:val="003B4B06"/>
    <w:rsid w:val="003B65D3"/>
    <w:rsid w:val="003C1CC1"/>
    <w:rsid w:val="003C511A"/>
    <w:rsid w:val="003D165F"/>
    <w:rsid w:val="003D2976"/>
    <w:rsid w:val="003D39FD"/>
    <w:rsid w:val="003D3A22"/>
    <w:rsid w:val="003D3EEB"/>
    <w:rsid w:val="003D5615"/>
    <w:rsid w:val="003D7831"/>
    <w:rsid w:val="003E05A4"/>
    <w:rsid w:val="003E2F86"/>
    <w:rsid w:val="003E4552"/>
    <w:rsid w:val="003E482F"/>
    <w:rsid w:val="003E6AA7"/>
    <w:rsid w:val="003F2740"/>
    <w:rsid w:val="003F4B78"/>
    <w:rsid w:val="003F5E23"/>
    <w:rsid w:val="003F60DF"/>
    <w:rsid w:val="003F75D8"/>
    <w:rsid w:val="004014B7"/>
    <w:rsid w:val="00402140"/>
    <w:rsid w:val="00403459"/>
    <w:rsid w:val="00406BB4"/>
    <w:rsid w:val="00413ADD"/>
    <w:rsid w:val="00414BE3"/>
    <w:rsid w:val="00420BE1"/>
    <w:rsid w:val="00420D07"/>
    <w:rsid w:val="00421B70"/>
    <w:rsid w:val="00423517"/>
    <w:rsid w:val="00431E19"/>
    <w:rsid w:val="004324F6"/>
    <w:rsid w:val="00435D95"/>
    <w:rsid w:val="004400BC"/>
    <w:rsid w:val="00441474"/>
    <w:rsid w:val="004436DF"/>
    <w:rsid w:val="00444A2C"/>
    <w:rsid w:val="00444FDC"/>
    <w:rsid w:val="004459A1"/>
    <w:rsid w:val="00446E97"/>
    <w:rsid w:val="0045143E"/>
    <w:rsid w:val="00451541"/>
    <w:rsid w:val="004516D0"/>
    <w:rsid w:val="00452038"/>
    <w:rsid w:val="00454075"/>
    <w:rsid w:val="00455831"/>
    <w:rsid w:val="004562E3"/>
    <w:rsid w:val="0046075F"/>
    <w:rsid w:val="00462AED"/>
    <w:rsid w:val="00462C03"/>
    <w:rsid w:val="004655DB"/>
    <w:rsid w:val="004668B3"/>
    <w:rsid w:val="00466E08"/>
    <w:rsid w:val="00467F6C"/>
    <w:rsid w:val="00470613"/>
    <w:rsid w:val="00471436"/>
    <w:rsid w:val="00474DA0"/>
    <w:rsid w:val="0047516C"/>
    <w:rsid w:val="004753EF"/>
    <w:rsid w:val="004758DC"/>
    <w:rsid w:val="00477E9A"/>
    <w:rsid w:val="0048016C"/>
    <w:rsid w:val="0048107C"/>
    <w:rsid w:val="00482658"/>
    <w:rsid w:val="004835E8"/>
    <w:rsid w:val="00485901"/>
    <w:rsid w:val="0048695A"/>
    <w:rsid w:val="004949FF"/>
    <w:rsid w:val="00497312"/>
    <w:rsid w:val="00497A52"/>
    <w:rsid w:val="004A0233"/>
    <w:rsid w:val="004A10F9"/>
    <w:rsid w:val="004A2642"/>
    <w:rsid w:val="004A50F7"/>
    <w:rsid w:val="004A6A57"/>
    <w:rsid w:val="004A6CAD"/>
    <w:rsid w:val="004A7B02"/>
    <w:rsid w:val="004B2955"/>
    <w:rsid w:val="004C15C4"/>
    <w:rsid w:val="004C333D"/>
    <w:rsid w:val="004C3E6D"/>
    <w:rsid w:val="004C490D"/>
    <w:rsid w:val="004C4FF5"/>
    <w:rsid w:val="004C55CA"/>
    <w:rsid w:val="004C623C"/>
    <w:rsid w:val="004C6818"/>
    <w:rsid w:val="004C6B9E"/>
    <w:rsid w:val="004C7D16"/>
    <w:rsid w:val="004D077A"/>
    <w:rsid w:val="004D475D"/>
    <w:rsid w:val="004D5B30"/>
    <w:rsid w:val="004D65F3"/>
    <w:rsid w:val="004E1709"/>
    <w:rsid w:val="004E208E"/>
    <w:rsid w:val="004E414F"/>
    <w:rsid w:val="004E48FC"/>
    <w:rsid w:val="004E6DF7"/>
    <w:rsid w:val="004E77DB"/>
    <w:rsid w:val="004F0B71"/>
    <w:rsid w:val="004F18CA"/>
    <w:rsid w:val="004F1BDB"/>
    <w:rsid w:val="004F203A"/>
    <w:rsid w:val="004F2E12"/>
    <w:rsid w:val="004F4314"/>
    <w:rsid w:val="004F6710"/>
    <w:rsid w:val="004F672F"/>
    <w:rsid w:val="004F6923"/>
    <w:rsid w:val="004F6BE5"/>
    <w:rsid w:val="00502F53"/>
    <w:rsid w:val="00504704"/>
    <w:rsid w:val="005047A1"/>
    <w:rsid w:val="00504DFC"/>
    <w:rsid w:val="00510E2B"/>
    <w:rsid w:val="005111D3"/>
    <w:rsid w:val="005133DE"/>
    <w:rsid w:val="005136A9"/>
    <w:rsid w:val="00514118"/>
    <w:rsid w:val="00516D50"/>
    <w:rsid w:val="00525FB5"/>
    <w:rsid w:val="00526F3A"/>
    <w:rsid w:val="00527B95"/>
    <w:rsid w:val="005308E9"/>
    <w:rsid w:val="00531477"/>
    <w:rsid w:val="0053250F"/>
    <w:rsid w:val="00532C33"/>
    <w:rsid w:val="00532CDD"/>
    <w:rsid w:val="00532CFF"/>
    <w:rsid w:val="00532FC7"/>
    <w:rsid w:val="00533383"/>
    <w:rsid w:val="00537BEB"/>
    <w:rsid w:val="00542065"/>
    <w:rsid w:val="005423BA"/>
    <w:rsid w:val="00544169"/>
    <w:rsid w:val="00545452"/>
    <w:rsid w:val="00546A00"/>
    <w:rsid w:val="005478BA"/>
    <w:rsid w:val="00555362"/>
    <w:rsid w:val="00555FED"/>
    <w:rsid w:val="00556B70"/>
    <w:rsid w:val="00556C25"/>
    <w:rsid w:val="00561710"/>
    <w:rsid w:val="005617B8"/>
    <w:rsid w:val="0056268A"/>
    <w:rsid w:val="00562A29"/>
    <w:rsid w:val="00564827"/>
    <w:rsid w:val="00570A36"/>
    <w:rsid w:val="00570EFE"/>
    <w:rsid w:val="00571215"/>
    <w:rsid w:val="00571D27"/>
    <w:rsid w:val="0057268E"/>
    <w:rsid w:val="0057329E"/>
    <w:rsid w:val="00574EBD"/>
    <w:rsid w:val="00575C9E"/>
    <w:rsid w:val="00576E0E"/>
    <w:rsid w:val="00577AC9"/>
    <w:rsid w:val="00583382"/>
    <w:rsid w:val="00584280"/>
    <w:rsid w:val="00586E1C"/>
    <w:rsid w:val="005875DC"/>
    <w:rsid w:val="00590307"/>
    <w:rsid w:val="00590C31"/>
    <w:rsid w:val="00592559"/>
    <w:rsid w:val="00593944"/>
    <w:rsid w:val="00595A43"/>
    <w:rsid w:val="00595B71"/>
    <w:rsid w:val="00597184"/>
    <w:rsid w:val="00597480"/>
    <w:rsid w:val="005976FE"/>
    <w:rsid w:val="005A0B02"/>
    <w:rsid w:val="005A12D8"/>
    <w:rsid w:val="005A391D"/>
    <w:rsid w:val="005A4A11"/>
    <w:rsid w:val="005B394F"/>
    <w:rsid w:val="005B39C1"/>
    <w:rsid w:val="005B6F61"/>
    <w:rsid w:val="005B7496"/>
    <w:rsid w:val="005B7C93"/>
    <w:rsid w:val="005C2DA2"/>
    <w:rsid w:val="005C4227"/>
    <w:rsid w:val="005C45F6"/>
    <w:rsid w:val="005D21FF"/>
    <w:rsid w:val="005D2FB6"/>
    <w:rsid w:val="005D422F"/>
    <w:rsid w:val="005D553F"/>
    <w:rsid w:val="005D5C55"/>
    <w:rsid w:val="005D7790"/>
    <w:rsid w:val="005E15AA"/>
    <w:rsid w:val="005E237C"/>
    <w:rsid w:val="005E2FA9"/>
    <w:rsid w:val="005E4252"/>
    <w:rsid w:val="005E5D8A"/>
    <w:rsid w:val="005E74C0"/>
    <w:rsid w:val="005E7D92"/>
    <w:rsid w:val="005F07A5"/>
    <w:rsid w:val="005F23F4"/>
    <w:rsid w:val="005F2A7D"/>
    <w:rsid w:val="005F2B72"/>
    <w:rsid w:val="005F394F"/>
    <w:rsid w:val="005F4505"/>
    <w:rsid w:val="005F5321"/>
    <w:rsid w:val="005F5601"/>
    <w:rsid w:val="005F6603"/>
    <w:rsid w:val="005F78CA"/>
    <w:rsid w:val="0060010B"/>
    <w:rsid w:val="006025D8"/>
    <w:rsid w:val="006049B8"/>
    <w:rsid w:val="00605430"/>
    <w:rsid w:val="00606B7A"/>
    <w:rsid w:val="00610E34"/>
    <w:rsid w:val="0061144F"/>
    <w:rsid w:val="00612428"/>
    <w:rsid w:val="00612C89"/>
    <w:rsid w:val="0061458A"/>
    <w:rsid w:val="00614F19"/>
    <w:rsid w:val="00616C15"/>
    <w:rsid w:val="00616C8E"/>
    <w:rsid w:val="00617D5F"/>
    <w:rsid w:val="0062051B"/>
    <w:rsid w:val="00620AC9"/>
    <w:rsid w:val="00620CAC"/>
    <w:rsid w:val="00622C7E"/>
    <w:rsid w:val="00622E4E"/>
    <w:rsid w:val="0063432D"/>
    <w:rsid w:val="00635681"/>
    <w:rsid w:val="006374CF"/>
    <w:rsid w:val="00637CE8"/>
    <w:rsid w:val="00640A95"/>
    <w:rsid w:val="00641562"/>
    <w:rsid w:val="00642DAE"/>
    <w:rsid w:val="00643AD3"/>
    <w:rsid w:val="006444BA"/>
    <w:rsid w:val="00644B7E"/>
    <w:rsid w:val="00645078"/>
    <w:rsid w:val="00650768"/>
    <w:rsid w:val="00655A3B"/>
    <w:rsid w:val="0065658B"/>
    <w:rsid w:val="00657217"/>
    <w:rsid w:val="006579D2"/>
    <w:rsid w:val="00661CDE"/>
    <w:rsid w:val="00662F35"/>
    <w:rsid w:val="006638E6"/>
    <w:rsid w:val="0066461A"/>
    <w:rsid w:val="00665867"/>
    <w:rsid w:val="00666C94"/>
    <w:rsid w:val="006706F5"/>
    <w:rsid w:val="00670CC7"/>
    <w:rsid w:val="006718C9"/>
    <w:rsid w:val="00675961"/>
    <w:rsid w:val="00681A2D"/>
    <w:rsid w:val="006820AA"/>
    <w:rsid w:val="006846E7"/>
    <w:rsid w:val="00686805"/>
    <w:rsid w:val="006906CC"/>
    <w:rsid w:val="00690F9F"/>
    <w:rsid w:val="00694B01"/>
    <w:rsid w:val="00695AB1"/>
    <w:rsid w:val="00696A67"/>
    <w:rsid w:val="00696E98"/>
    <w:rsid w:val="00696EED"/>
    <w:rsid w:val="006A0567"/>
    <w:rsid w:val="006A2D87"/>
    <w:rsid w:val="006A5C4C"/>
    <w:rsid w:val="006A73DC"/>
    <w:rsid w:val="006B1612"/>
    <w:rsid w:val="006B1874"/>
    <w:rsid w:val="006B5610"/>
    <w:rsid w:val="006B6198"/>
    <w:rsid w:val="006B6441"/>
    <w:rsid w:val="006C30E4"/>
    <w:rsid w:val="006C3BC6"/>
    <w:rsid w:val="006C3D28"/>
    <w:rsid w:val="006D05A5"/>
    <w:rsid w:val="006D0F25"/>
    <w:rsid w:val="006D15A1"/>
    <w:rsid w:val="006D5BF2"/>
    <w:rsid w:val="006D6D13"/>
    <w:rsid w:val="006D76DF"/>
    <w:rsid w:val="006E14BA"/>
    <w:rsid w:val="006E3FB2"/>
    <w:rsid w:val="006E45EF"/>
    <w:rsid w:val="006E4EEF"/>
    <w:rsid w:val="006E67B3"/>
    <w:rsid w:val="006E68AA"/>
    <w:rsid w:val="006F3A0C"/>
    <w:rsid w:val="006F4ED0"/>
    <w:rsid w:val="006F530E"/>
    <w:rsid w:val="006F565F"/>
    <w:rsid w:val="006F6E10"/>
    <w:rsid w:val="00700F8C"/>
    <w:rsid w:val="0070222F"/>
    <w:rsid w:val="00702BF3"/>
    <w:rsid w:val="00703910"/>
    <w:rsid w:val="0070628C"/>
    <w:rsid w:val="007078DB"/>
    <w:rsid w:val="00707FC7"/>
    <w:rsid w:val="00711759"/>
    <w:rsid w:val="00711B99"/>
    <w:rsid w:val="00711CC5"/>
    <w:rsid w:val="00717318"/>
    <w:rsid w:val="00721EA8"/>
    <w:rsid w:val="0072317E"/>
    <w:rsid w:val="0072463D"/>
    <w:rsid w:val="00725875"/>
    <w:rsid w:val="0072602D"/>
    <w:rsid w:val="007267EE"/>
    <w:rsid w:val="00731E89"/>
    <w:rsid w:val="00732101"/>
    <w:rsid w:val="00732491"/>
    <w:rsid w:val="00732FBE"/>
    <w:rsid w:val="0073387E"/>
    <w:rsid w:val="00734030"/>
    <w:rsid w:val="007348A6"/>
    <w:rsid w:val="00735076"/>
    <w:rsid w:val="00735C8E"/>
    <w:rsid w:val="00740AF9"/>
    <w:rsid w:val="00741A45"/>
    <w:rsid w:val="0074206F"/>
    <w:rsid w:val="00742935"/>
    <w:rsid w:val="00742C0D"/>
    <w:rsid w:val="007449D4"/>
    <w:rsid w:val="00745B99"/>
    <w:rsid w:val="0074631D"/>
    <w:rsid w:val="00746A8F"/>
    <w:rsid w:val="00751F87"/>
    <w:rsid w:val="007527C1"/>
    <w:rsid w:val="00753AFF"/>
    <w:rsid w:val="00753B4D"/>
    <w:rsid w:val="00754231"/>
    <w:rsid w:val="007563B3"/>
    <w:rsid w:val="007573BB"/>
    <w:rsid w:val="00761884"/>
    <w:rsid w:val="0076190E"/>
    <w:rsid w:val="00761DCA"/>
    <w:rsid w:val="00762203"/>
    <w:rsid w:val="007625EA"/>
    <w:rsid w:val="007645E3"/>
    <w:rsid w:val="00764D3F"/>
    <w:rsid w:val="007653A4"/>
    <w:rsid w:val="0076794A"/>
    <w:rsid w:val="007709D4"/>
    <w:rsid w:val="00771A4D"/>
    <w:rsid w:val="00773073"/>
    <w:rsid w:val="007732F5"/>
    <w:rsid w:val="00780062"/>
    <w:rsid w:val="007813D3"/>
    <w:rsid w:val="00781749"/>
    <w:rsid w:val="007855A8"/>
    <w:rsid w:val="007857DC"/>
    <w:rsid w:val="00785C01"/>
    <w:rsid w:val="00790A8A"/>
    <w:rsid w:val="00791F84"/>
    <w:rsid w:val="00792FB1"/>
    <w:rsid w:val="0079332E"/>
    <w:rsid w:val="00793DDE"/>
    <w:rsid w:val="00794571"/>
    <w:rsid w:val="007949B0"/>
    <w:rsid w:val="00795491"/>
    <w:rsid w:val="00795DB1"/>
    <w:rsid w:val="007963AE"/>
    <w:rsid w:val="00797839"/>
    <w:rsid w:val="00797AFF"/>
    <w:rsid w:val="007A02D7"/>
    <w:rsid w:val="007A2AF9"/>
    <w:rsid w:val="007A433F"/>
    <w:rsid w:val="007A4479"/>
    <w:rsid w:val="007A4EFB"/>
    <w:rsid w:val="007A61F0"/>
    <w:rsid w:val="007A7C20"/>
    <w:rsid w:val="007B08DA"/>
    <w:rsid w:val="007B1206"/>
    <w:rsid w:val="007B24C3"/>
    <w:rsid w:val="007B4CB0"/>
    <w:rsid w:val="007B59E1"/>
    <w:rsid w:val="007B5EC0"/>
    <w:rsid w:val="007B7705"/>
    <w:rsid w:val="007C0583"/>
    <w:rsid w:val="007C0945"/>
    <w:rsid w:val="007C0BF4"/>
    <w:rsid w:val="007C17A9"/>
    <w:rsid w:val="007C29F1"/>
    <w:rsid w:val="007D1607"/>
    <w:rsid w:val="007D204D"/>
    <w:rsid w:val="007D2DDF"/>
    <w:rsid w:val="007D36F2"/>
    <w:rsid w:val="007D4B0F"/>
    <w:rsid w:val="007D5836"/>
    <w:rsid w:val="007D637B"/>
    <w:rsid w:val="007D70AC"/>
    <w:rsid w:val="007E1539"/>
    <w:rsid w:val="007E153E"/>
    <w:rsid w:val="007E1E51"/>
    <w:rsid w:val="007E4568"/>
    <w:rsid w:val="007E48E6"/>
    <w:rsid w:val="007E5355"/>
    <w:rsid w:val="007E7A4E"/>
    <w:rsid w:val="007F14EB"/>
    <w:rsid w:val="007F248A"/>
    <w:rsid w:val="007F2847"/>
    <w:rsid w:val="007F4625"/>
    <w:rsid w:val="007F4FC9"/>
    <w:rsid w:val="007F6DAC"/>
    <w:rsid w:val="007F7190"/>
    <w:rsid w:val="00800163"/>
    <w:rsid w:val="00800625"/>
    <w:rsid w:val="008010EB"/>
    <w:rsid w:val="00804A7F"/>
    <w:rsid w:val="008052B2"/>
    <w:rsid w:val="008063DC"/>
    <w:rsid w:val="00807F84"/>
    <w:rsid w:val="0081024C"/>
    <w:rsid w:val="008106B2"/>
    <w:rsid w:val="008108AC"/>
    <w:rsid w:val="0081202D"/>
    <w:rsid w:val="00813691"/>
    <w:rsid w:val="0081395F"/>
    <w:rsid w:val="00814883"/>
    <w:rsid w:val="0081550F"/>
    <w:rsid w:val="0082009C"/>
    <w:rsid w:val="00820743"/>
    <w:rsid w:val="00822ABF"/>
    <w:rsid w:val="00824781"/>
    <w:rsid w:val="0082741A"/>
    <w:rsid w:val="00830CF4"/>
    <w:rsid w:val="00831C86"/>
    <w:rsid w:val="008326D3"/>
    <w:rsid w:val="00832A70"/>
    <w:rsid w:val="008337AF"/>
    <w:rsid w:val="00834E10"/>
    <w:rsid w:val="00840953"/>
    <w:rsid w:val="0084382C"/>
    <w:rsid w:val="00846E0B"/>
    <w:rsid w:val="008475C6"/>
    <w:rsid w:val="00850B09"/>
    <w:rsid w:val="0085167D"/>
    <w:rsid w:val="00854712"/>
    <w:rsid w:val="00855098"/>
    <w:rsid w:val="00862599"/>
    <w:rsid w:val="008628BE"/>
    <w:rsid w:val="00862A77"/>
    <w:rsid w:val="00864F27"/>
    <w:rsid w:val="008652F2"/>
    <w:rsid w:val="008659A7"/>
    <w:rsid w:val="00867AD3"/>
    <w:rsid w:val="00870E8F"/>
    <w:rsid w:val="008717F5"/>
    <w:rsid w:val="00871BFC"/>
    <w:rsid w:val="00872849"/>
    <w:rsid w:val="008735BC"/>
    <w:rsid w:val="00874A83"/>
    <w:rsid w:val="008754B1"/>
    <w:rsid w:val="00875CDA"/>
    <w:rsid w:val="0088067A"/>
    <w:rsid w:val="008817CE"/>
    <w:rsid w:val="00882913"/>
    <w:rsid w:val="008874BB"/>
    <w:rsid w:val="008878B5"/>
    <w:rsid w:val="008921B2"/>
    <w:rsid w:val="00892927"/>
    <w:rsid w:val="00894411"/>
    <w:rsid w:val="008946A9"/>
    <w:rsid w:val="00894ABA"/>
    <w:rsid w:val="00895C9E"/>
    <w:rsid w:val="0089612B"/>
    <w:rsid w:val="00896D98"/>
    <w:rsid w:val="00896F1E"/>
    <w:rsid w:val="00897F8D"/>
    <w:rsid w:val="00897FE7"/>
    <w:rsid w:val="008A009B"/>
    <w:rsid w:val="008A1B84"/>
    <w:rsid w:val="008A274E"/>
    <w:rsid w:val="008A53A7"/>
    <w:rsid w:val="008A6AB4"/>
    <w:rsid w:val="008A791D"/>
    <w:rsid w:val="008B01B7"/>
    <w:rsid w:val="008B1127"/>
    <w:rsid w:val="008B2DF4"/>
    <w:rsid w:val="008B31C2"/>
    <w:rsid w:val="008B6027"/>
    <w:rsid w:val="008B602B"/>
    <w:rsid w:val="008B7E35"/>
    <w:rsid w:val="008C0027"/>
    <w:rsid w:val="008C1D6B"/>
    <w:rsid w:val="008C1F57"/>
    <w:rsid w:val="008C2369"/>
    <w:rsid w:val="008C5408"/>
    <w:rsid w:val="008C66CE"/>
    <w:rsid w:val="008D04C2"/>
    <w:rsid w:val="008D2668"/>
    <w:rsid w:val="008D3140"/>
    <w:rsid w:val="008D3E49"/>
    <w:rsid w:val="008D3FB3"/>
    <w:rsid w:val="008D6943"/>
    <w:rsid w:val="008D7590"/>
    <w:rsid w:val="008D7F5F"/>
    <w:rsid w:val="008E3008"/>
    <w:rsid w:val="008E303A"/>
    <w:rsid w:val="008F6995"/>
    <w:rsid w:val="008F7621"/>
    <w:rsid w:val="008F785D"/>
    <w:rsid w:val="008F7B3C"/>
    <w:rsid w:val="00901277"/>
    <w:rsid w:val="00901AAB"/>
    <w:rsid w:val="009030B7"/>
    <w:rsid w:val="00904BAD"/>
    <w:rsid w:val="00904DB5"/>
    <w:rsid w:val="00904EA6"/>
    <w:rsid w:val="00905537"/>
    <w:rsid w:val="00905EF7"/>
    <w:rsid w:val="00910AFA"/>
    <w:rsid w:val="00910EA5"/>
    <w:rsid w:val="00911E13"/>
    <w:rsid w:val="009121A6"/>
    <w:rsid w:val="00913634"/>
    <w:rsid w:val="00914123"/>
    <w:rsid w:val="009153F8"/>
    <w:rsid w:val="00917261"/>
    <w:rsid w:val="00920411"/>
    <w:rsid w:val="00920A29"/>
    <w:rsid w:val="0092117C"/>
    <w:rsid w:val="00931568"/>
    <w:rsid w:val="00935A48"/>
    <w:rsid w:val="0093683E"/>
    <w:rsid w:val="00937FE5"/>
    <w:rsid w:val="00945750"/>
    <w:rsid w:val="00952CF8"/>
    <w:rsid w:val="0095474A"/>
    <w:rsid w:val="00956B87"/>
    <w:rsid w:val="00960F71"/>
    <w:rsid w:val="00963F39"/>
    <w:rsid w:val="009654E9"/>
    <w:rsid w:val="0096602E"/>
    <w:rsid w:val="00966F2E"/>
    <w:rsid w:val="00967156"/>
    <w:rsid w:val="0096751E"/>
    <w:rsid w:val="00967B1E"/>
    <w:rsid w:val="00970531"/>
    <w:rsid w:val="0097149C"/>
    <w:rsid w:val="00971CA5"/>
    <w:rsid w:val="009850DB"/>
    <w:rsid w:val="00990293"/>
    <w:rsid w:val="00991813"/>
    <w:rsid w:val="009930A6"/>
    <w:rsid w:val="00994281"/>
    <w:rsid w:val="00994FBA"/>
    <w:rsid w:val="009A13AC"/>
    <w:rsid w:val="009A303B"/>
    <w:rsid w:val="009A3C68"/>
    <w:rsid w:val="009A57D4"/>
    <w:rsid w:val="009A72B0"/>
    <w:rsid w:val="009A7FEF"/>
    <w:rsid w:val="009B10BB"/>
    <w:rsid w:val="009B132F"/>
    <w:rsid w:val="009B14B6"/>
    <w:rsid w:val="009B216F"/>
    <w:rsid w:val="009B4E86"/>
    <w:rsid w:val="009B6980"/>
    <w:rsid w:val="009C0D5D"/>
    <w:rsid w:val="009C4B7E"/>
    <w:rsid w:val="009C5A5B"/>
    <w:rsid w:val="009C6DFA"/>
    <w:rsid w:val="009C745D"/>
    <w:rsid w:val="009D0553"/>
    <w:rsid w:val="009D0DC3"/>
    <w:rsid w:val="009D1729"/>
    <w:rsid w:val="009D19EE"/>
    <w:rsid w:val="009D2F53"/>
    <w:rsid w:val="009D4506"/>
    <w:rsid w:val="009D4D40"/>
    <w:rsid w:val="009D5049"/>
    <w:rsid w:val="009D54B2"/>
    <w:rsid w:val="009D5803"/>
    <w:rsid w:val="009D6221"/>
    <w:rsid w:val="009E089C"/>
    <w:rsid w:val="009E0A19"/>
    <w:rsid w:val="009E219C"/>
    <w:rsid w:val="009E48D2"/>
    <w:rsid w:val="009E4F2B"/>
    <w:rsid w:val="009E5542"/>
    <w:rsid w:val="009E5587"/>
    <w:rsid w:val="009E6748"/>
    <w:rsid w:val="009F0302"/>
    <w:rsid w:val="009F145C"/>
    <w:rsid w:val="009F3AC1"/>
    <w:rsid w:val="009F477D"/>
    <w:rsid w:val="009F604D"/>
    <w:rsid w:val="009F6234"/>
    <w:rsid w:val="009F7860"/>
    <w:rsid w:val="00A00806"/>
    <w:rsid w:val="00A031E6"/>
    <w:rsid w:val="00A032B0"/>
    <w:rsid w:val="00A04D84"/>
    <w:rsid w:val="00A05C56"/>
    <w:rsid w:val="00A06915"/>
    <w:rsid w:val="00A110B2"/>
    <w:rsid w:val="00A116C5"/>
    <w:rsid w:val="00A1318E"/>
    <w:rsid w:val="00A1376F"/>
    <w:rsid w:val="00A13FDC"/>
    <w:rsid w:val="00A15051"/>
    <w:rsid w:val="00A1586C"/>
    <w:rsid w:val="00A16D9C"/>
    <w:rsid w:val="00A177B6"/>
    <w:rsid w:val="00A202FD"/>
    <w:rsid w:val="00A2042A"/>
    <w:rsid w:val="00A20C3F"/>
    <w:rsid w:val="00A21240"/>
    <w:rsid w:val="00A236D2"/>
    <w:rsid w:val="00A241A3"/>
    <w:rsid w:val="00A25417"/>
    <w:rsid w:val="00A2680F"/>
    <w:rsid w:val="00A26957"/>
    <w:rsid w:val="00A27DFD"/>
    <w:rsid w:val="00A30AFA"/>
    <w:rsid w:val="00A32EE3"/>
    <w:rsid w:val="00A3317E"/>
    <w:rsid w:val="00A36B5A"/>
    <w:rsid w:val="00A4105E"/>
    <w:rsid w:val="00A41B76"/>
    <w:rsid w:val="00A4205E"/>
    <w:rsid w:val="00A47CE0"/>
    <w:rsid w:val="00A51387"/>
    <w:rsid w:val="00A54A9C"/>
    <w:rsid w:val="00A554B1"/>
    <w:rsid w:val="00A62232"/>
    <w:rsid w:val="00A62C2A"/>
    <w:rsid w:val="00A62E46"/>
    <w:rsid w:val="00A630F3"/>
    <w:rsid w:val="00A631E8"/>
    <w:rsid w:val="00A64787"/>
    <w:rsid w:val="00A66B1B"/>
    <w:rsid w:val="00A673F5"/>
    <w:rsid w:val="00A71CE5"/>
    <w:rsid w:val="00A73D84"/>
    <w:rsid w:val="00A74BE9"/>
    <w:rsid w:val="00A753BB"/>
    <w:rsid w:val="00A75E46"/>
    <w:rsid w:val="00A825D0"/>
    <w:rsid w:val="00A846DD"/>
    <w:rsid w:val="00A853C3"/>
    <w:rsid w:val="00A8698E"/>
    <w:rsid w:val="00A86FB6"/>
    <w:rsid w:val="00A879BA"/>
    <w:rsid w:val="00A94123"/>
    <w:rsid w:val="00A97841"/>
    <w:rsid w:val="00AA0EB9"/>
    <w:rsid w:val="00AA2723"/>
    <w:rsid w:val="00AA2B4E"/>
    <w:rsid w:val="00AA3217"/>
    <w:rsid w:val="00AA5599"/>
    <w:rsid w:val="00AB012C"/>
    <w:rsid w:val="00AB0D78"/>
    <w:rsid w:val="00AB2296"/>
    <w:rsid w:val="00AB22C8"/>
    <w:rsid w:val="00AB3A48"/>
    <w:rsid w:val="00AB7736"/>
    <w:rsid w:val="00AC04D2"/>
    <w:rsid w:val="00AC08DB"/>
    <w:rsid w:val="00AC259D"/>
    <w:rsid w:val="00AC2997"/>
    <w:rsid w:val="00AC2BF3"/>
    <w:rsid w:val="00AC2FF7"/>
    <w:rsid w:val="00AC4DD1"/>
    <w:rsid w:val="00AC5F47"/>
    <w:rsid w:val="00AC625C"/>
    <w:rsid w:val="00AC73DB"/>
    <w:rsid w:val="00AD0D28"/>
    <w:rsid w:val="00AD1CA9"/>
    <w:rsid w:val="00AD1D29"/>
    <w:rsid w:val="00AD2D26"/>
    <w:rsid w:val="00AD3A10"/>
    <w:rsid w:val="00AD4DA8"/>
    <w:rsid w:val="00AD52C3"/>
    <w:rsid w:val="00AD796E"/>
    <w:rsid w:val="00AE518C"/>
    <w:rsid w:val="00AE7786"/>
    <w:rsid w:val="00AF2C89"/>
    <w:rsid w:val="00B007EE"/>
    <w:rsid w:val="00B01207"/>
    <w:rsid w:val="00B01BE2"/>
    <w:rsid w:val="00B06AFC"/>
    <w:rsid w:val="00B075E3"/>
    <w:rsid w:val="00B10973"/>
    <w:rsid w:val="00B116F5"/>
    <w:rsid w:val="00B12984"/>
    <w:rsid w:val="00B12A79"/>
    <w:rsid w:val="00B12DEC"/>
    <w:rsid w:val="00B13759"/>
    <w:rsid w:val="00B139C0"/>
    <w:rsid w:val="00B162BC"/>
    <w:rsid w:val="00B16E69"/>
    <w:rsid w:val="00B17D94"/>
    <w:rsid w:val="00B2140F"/>
    <w:rsid w:val="00B25E39"/>
    <w:rsid w:val="00B26CB0"/>
    <w:rsid w:val="00B26E69"/>
    <w:rsid w:val="00B2786B"/>
    <w:rsid w:val="00B31D75"/>
    <w:rsid w:val="00B33304"/>
    <w:rsid w:val="00B337D2"/>
    <w:rsid w:val="00B339B2"/>
    <w:rsid w:val="00B34AE0"/>
    <w:rsid w:val="00B34B19"/>
    <w:rsid w:val="00B35452"/>
    <w:rsid w:val="00B364FD"/>
    <w:rsid w:val="00B36B64"/>
    <w:rsid w:val="00B41453"/>
    <w:rsid w:val="00B414C6"/>
    <w:rsid w:val="00B417A5"/>
    <w:rsid w:val="00B44374"/>
    <w:rsid w:val="00B452FF"/>
    <w:rsid w:val="00B45E4E"/>
    <w:rsid w:val="00B52050"/>
    <w:rsid w:val="00B52751"/>
    <w:rsid w:val="00B60C91"/>
    <w:rsid w:val="00B61E0E"/>
    <w:rsid w:val="00B63A6C"/>
    <w:rsid w:val="00B668BA"/>
    <w:rsid w:val="00B7116E"/>
    <w:rsid w:val="00B71EFA"/>
    <w:rsid w:val="00B72B06"/>
    <w:rsid w:val="00B75B99"/>
    <w:rsid w:val="00B76B21"/>
    <w:rsid w:val="00B80001"/>
    <w:rsid w:val="00B81E25"/>
    <w:rsid w:val="00B833B4"/>
    <w:rsid w:val="00B83BC0"/>
    <w:rsid w:val="00B924FB"/>
    <w:rsid w:val="00B94076"/>
    <w:rsid w:val="00B946FA"/>
    <w:rsid w:val="00B9538A"/>
    <w:rsid w:val="00BA1C37"/>
    <w:rsid w:val="00BA27EE"/>
    <w:rsid w:val="00BA4664"/>
    <w:rsid w:val="00BA50F1"/>
    <w:rsid w:val="00BA5137"/>
    <w:rsid w:val="00BB0104"/>
    <w:rsid w:val="00BB2682"/>
    <w:rsid w:val="00BB4124"/>
    <w:rsid w:val="00BB52A0"/>
    <w:rsid w:val="00BC1DCE"/>
    <w:rsid w:val="00BC4360"/>
    <w:rsid w:val="00BD0CD3"/>
    <w:rsid w:val="00BD1162"/>
    <w:rsid w:val="00BD36C5"/>
    <w:rsid w:val="00BD570B"/>
    <w:rsid w:val="00BD586F"/>
    <w:rsid w:val="00BD5C9B"/>
    <w:rsid w:val="00BD5FB3"/>
    <w:rsid w:val="00BD68AE"/>
    <w:rsid w:val="00BD7AB0"/>
    <w:rsid w:val="00BE02A0"/>
    <w:rsid w:val="00BE2618"/>
    <w:rsid w:val="00BE4A7C"/>
    <w:rsid w:val="00BE4EC0"/>
    <w:rsid w:val="00BE63FE"/>
    <w:rsid w:val="00BE7675"/>
    <w:rsid w:val="00BE76E0"/>
    <w:rsid w:val="00BF0E18"/>
    <w:rsid w:val="00BF3DD7"/>
    <w:rsid w:val="00BF4386"/>
    <w:rsid w:val="00BF786E"/>
    <w:rsid w:val="00BF7F4E"/>
    <w:rsid w:val="00C026A3"/>
    <w:rsid w:val="00C03070"/>
    <w:rsid w:val="00C032BB"/>
    <w:rsid w:val="00C10D25"/>
    <w:rsid w:val="00C16CDA"/>
    <w:rsid w:val="00C1706E"/>
    <w:rsid w:val="00C20B1B"/>
    <w:rsid w:val="00C23E42"/>
    <w:rsid w:val="00C24BFB"/>
    <w:rsid w:val="00C24D26"/>
    <w:rsid w:val="00C266BC"/>
    <w:rsid w:val="00C26D82"/>
    <w:rsid w:val="00C31408"/>
    <w:rsid w:val="00C32BB1"/>
    <w:rsid w:val="00C32CAA"/>
    <w:rsid w:val="00C33CE6"/>
    <w:rsid w:val="00C33FDC"/>
    <w:rsid w:val="00C346C7"/>
    <w:rsid w:val="00C3631E"/>
    <w:rsid w:val="00C40365"/>
    <w:rsid w:val="00C414A9"/>
    <w:rsid w:val="00C42950"/>
    <w:rsid w:val="00C45003"/>
    <w:rsid w:val="00C45723"/>
    <w:rsid w:val="00C46870"/>
    <w:rsid w:val="00C50835"/>
    <w:rsid w:val="00C51549"/>
    <w:rsid w:val="00C54073"/>
    <w:rsid w:val="00C545DA"/>
    <w:rsid w:val="00C55BEE"/>
    <w:rsid w:val="00C60AA0"/>
    <w:rsid w:val="00C61356"/>
    <w:rsid w:val="00C62164"/>
    <w:rsid w:val="00C6227A"/>
    <w:rsid w:val="00C6407F"/>
    <w:rsid w:val="00C65C48"/>
    <w:rsid w:val="00C75148"/>
    <w:rsid w:val="00C75295"/>
    <w:rsid w:val="00C7712A"/>
    <w:rsid w:val="00C77B87"/>
    <w:rsid w:val="00C80760"/>
    <w:rsid w:val="00C866D1"/>
    <w:rsid w:val="00C872B0"/>
    <w:rsid w:val="00C90814"/>
    <w:rsid w:val="00C9173F"/>
    <w:rsid w:val="00C926C5"/>
    <w:rsid w:val="00C93FE8"/>
    <w:rsid w:val="00C949EA"/>
    <w:rsid w:val="00C96048"/>
    <w:rsid w:val="00CA1AC1"/>
    <w:rsid w:val="00CA2E31"/>
    <w:rsid w:val="00CA57F8"/>
    <w:rsid w:val="00CA7359"/>
    <w:rsid w:val="00CB080A"/>
    <w:rsid w:val="00CB0E2B"/>
    <w:rsid w:val="00CB0F82"/>
    <w:rsid w:val="00CB136F"/>
    <w:rsid w:val="00CB2F4A"/>
    <w:rsid w:val="00CB3A34"/>
    <w:rsid w:val="00CB430A"/>
    <w:rsid w:val="00CB5C26"/>
    <w:rsid w:val="00CC0D29"/>
    <w:rsid w:val="00CC224E"/>
    <w:rsid w:val="00CC5371"/>
    <w:rsid w:val="00CC62D1"/>
    <w:rsid w:val="00CC79E1"/>
    <w:rsid w:val="00CC7D2B"/>
    <w:rsid w:val="00CD1F0F"/>
    <w:rsid w:val="00CD3494"/>
    <w:rsid w:val="00CD46A1"/>
    <w:rsid w:val="00CD57AF"/>
    <w:rsid w:val="00CD7631"/>
    <w:rsid w:val="00CE0ACC"/>
    <w:rsid w:val="00CE15CF"/>
    <w:rsid w:val="00CE3EA4"/>
    <w:rsid w:val="00CE53F5"/>
    <w:rsid w:val="00CE5DEC"/>
    <w:rsid w:val="00CF1014"/>
    <w:rsid w:val="00CF33FC"/>
    <w:rsid w:val="00CF4D18"/>
    <w:rsid w:val="00CF5062"/>
    <w:rsid w:val="00CF651C"/>
    <w:rsid w:val="00D019DC"/>
    <w:rsid w:val="00D05212"/>
    <w:rsid w:val="00D060B1"/>
    <w:rsid w:val="00D104A5"/>
    <w:rsid w:val="00D15650"/>
    <w:rsid w:val="00D159E8"/>
    <w:rsid w:val="00D15B70"/>
    <w:rsid w:val="00D20499"/>
    <w:rsid w:val="00D2222C"/>
    <w:rsid w:val="00D2241E"/>
    <w:rsid w:val="00D23A4A"/>
    <w:rsid w:val="00D23CFA"/>
    <w:rsid w:val="00D2476B"/>
    <w:rsid w:val="00D254A5"/>
    <w:rsid w:val="00D34910"/>
    <w:rsid w:val="00D36CD6"/>
    <w:rsid w:val="00D40491"/>
    <w:rsid w:val="00D405D8"/>
    <w:rsid w:val="00D4087F"/>
    <w:rsid w:val="00D40B7F"/>
    <w:rsid w:val="00D42216"/>
    <w:rsid w:val="00D427D2"/>
    <w:rsid w:val="00D431F0"/>
    <w:rsid w:val="00D43911"/>
    <w:rsid w:val="00D44355"/>
    <w:rsid w:val="00D465A5"/>
    <w:rsid w:val="00D46BFD"/>
    <w:rsid w:val="00D50C63"/>
    <w:rsid w:val="00D51004"/>
    <w:rsid w:val="00D54B68"/>
    <w:rsid w:val="00D55A02"/>
    <w:rsid w:val="00D563C2"/>
    <w:rsid w:val="00D56B2E"/>
    <w:rsid w:val="00D5794D"/>
    <w:rsid w:val="00D638B9"/>
    <w:rsid w:val="00D66466"/>
    <w:rsid w:val="00D66F51"/>
    <w:rsid w:val="00D7295D"/>
    <w:rsid w:val="00D747A3"/>
    <w:rsid w:val="00D76550"/>
    <w:rsid w:val="00D76C8D"/>
    <w:rsid w:val="00D77279"/>
    <w:rsid w:val="00D84D2F"/>
    <w:rsid w:val="00D84DBD"/>
    <w:rsid w:val="00D85143"/>
    <w:rsid w:val="00D903E8"/>
    <w:rsid w:val="00D918E2"/>
    <w:rsid w:val="00D92114"/>
    <w:rsid w:val="00D92C74"/>
    <w:rsid w:val="00D94FC6"/>
    <w:rsid w:val="00D95FD3"/>
    <w:rsid w:val="00D96AE6"/>
    <w:rsid w:val="00DA2699"/>
    <w:rsid w:val="00DA35EA"/>
    <w:rsid w:val="00DA6E4F"/>
    <w:rsid w:val="00DB20C3"/>
    <w:rsid w:val="00DB34D5"/>
    <w:rsid w:val="00DB3E3C"/>
    <w:rsid w:val="00DB43AC"/>
    <w:rsid w:val="00DC08FA"/>
    <w:rsid w:val="00DC1910"/>
    <w:rsid w:val="00DC36C0"/>
    <w:rsid w:val="00DC3EBF"/>
    <w:rsid w:val="00DC5AA8"/>
    <w:rsid w:val="00DC5CAB"/>
    <w:rsid w:val="00DD029B"/>
    <w:rsid w:val="00DD10EA"/>
    <w:rsid w:val="00DD1206"/>
    <w:rsid w:val="00DD1366"/>
    <w:rsid w:val="00DD19F6"/>
    <w:rsid w:val="00DD25FD"/>
    <w:rsid w:val="00DD4B38"/>
    <w:rsid w:val="00DD4EA5"/>
    <w:rsid w:val="00DD6361"/>
    <w:rsid w:val="00DD678F"/>
    <w:rsid w:val="00DD7511"/>
    <w:rsid w:val="00DE087D"/>
    <w:rsid w:val="00DE2588"/>
    <w:rsid w:val="00DE285C"/>
    <w:rsid w:val="00DE591A"/>
    <w:rsid w:val="00DE6353"/>
    <w:rsid w:val="00DF022F"/>
    <w:rsid w:val="00DF11E8"/>
    <w:rsid w:val="00DF12FC"/>
    <w:rsid w:val="00DF14EA"/>
    <w:rsid w:val="00DF20A7"/>
    <w:rsid w:val="00DF5872"/>
    <w:rsid w:val="00DF5AD6"/>
    <w:rsid w:val="00E00DD8"/>
    <w:rsid w:val="00E00EFC"/>
    <w:rsid w:val="00E0394B"/>
    <w:rsid w:val="00E0512B"/>
    <w:rsid w:val="00E0513E"/>
    <w:rsid w:val="00E06929"/>
    <w:rsid w:val="00E11945"/>
    <w:rsid w:val="00E1317B"/>
    <w:rsid w:val="00E160E9"/>
    <w:rsid w:val="00E17089"/>
    <w:rsid w:val="00E17F88"/>
    <w:rsid w:val="00E235EE"/>
    <w:rsid w:val="00E2610F"/>
    <w:rsid w:val="00E30324"/>
    <w:rsid w:val="00E3412D"/>
    <w:rsid w:val="00E34ECD"/>
    <w:rsid w:val="00E36A2D"/>
    <w:rsid w:val="00E37E7E"/>
    <w:rsid w:val="00E41C2F"/>
    <w:rsid w:val="00E42EE2"/>
    <w:rsid w:val="00E45F5F"/>
    <w:rsid w:val="00E478C2"/>
    <w:rsid w:val="00E47A02"/>
    <w:rsid w:val="00E50604"/>
    <w:rsid w:val="00E506F7"/>
    <w:rsid w:val="00E50B64"/>
    <w:rsid w:val="00E53937"/>
    <w:rsid w:val="00E55A4C"/>
    <w:rsid w:val="00E6158B"/>
    <w:rsid w:val="00E6405F"/>
    <w:rsid w:val="00E640D7"/>
    <w:rsid w:val="00E6455C"/>
    <w:rsid w:val="00E64FD5"/>
    <w:rsid w:val="00E65886"/>
    <w:rsid w:val="00E71CC5"/>
    <w:rsid w:val="00E72AF4"/>
    <w:rsid w:val="00E73EEA"/>
    <w:rsid w:val="00E74C68"/>
    <w:rsid w:val="00E7513A"/>
    <w:rsid w:val="00E75E6C"/>
    <w:rsid w:val="00E77060"/>
    <w:rsid w:val="00E8080C"/>
    <w:rsid w:val="00E8508B"/>
    <w:rsid w:val="00E92FA7"/>
    <w:rsid w:val="00EA5871"/>
    <w:rsid w:val="00EA7650"/>
    <w:rsid w:val="00EB0B65"/>
    <w:rsid w:val="00EB1FFE"/>
    <w:rsid w:val="00EB256E"/>
    <w:rsid w:val="00EB6C2C"/>
    <w:rsid w:val="00EB78C5"/>
    <w:rsid w:val="00EB7CD6"/>
    <w:rsid w:val="00EC0CEA"/>
    <w:rsid w:val="00EC18C4"/>
    <w:rsid w:val="00EC3D4D"/>
    <w:rsid w:val="00EC7343"/>
    <w:rsid w:val="00EC7968"/>
    <w:rsid w:val="00ED0674"/>
    <w:rsid w:val="00ED2626"/>
    <w:rsid w:val="00ED3558"/>
    <w:rsid w:val="00ED357A"/>
    <w:rsid w:val="00ED4084"/>
    <w:rsid w:val="00ED460F"/>
    <w:rsid w:val="00ED4881"/>
    <w:rsid w:val="00ED6062"/>
    <w:rsid w:val="00ED640A"/>
    <w:rsid w:val="00EE1C8A"/>
    <w:rsid w:val="00EE2507"/>
    <w:rsid w:val="00EE2BD3"/>
    <w:rsid w:val="00EE341F"/>
    <w:rsid w:val="00EE3653"/>
    <w:rsid w:val="00EE4D7C"/>
    <w:rsid w:val="00EE606B"/>
    <w:rsid w:val="00EE730F"/>
    <w:rsid w:val="00EF0047"/>
    <w:rsid w:val="00EF13D7"/>
    <w:rsid w:val="00EF3A77"/>
    <w:rsid w:val="00EF5C5D"/>
    <w:rsid w:val="00F01AE3"/>
    <w:rsid w:val="00F01BB8"/>
    <w:rsid w:val="00F03547"/>
    <w:rsid w:val="00F0430A"/>
    <w:rsid w:val="00F043DA"/>
    <w:rsid w:val="00F0464F"/>
    <w:rsid w:val="00F056DC"/>
    <w:rsid w:val="00F06E75"/>
    <w:rsid w:val="00F07755"/>
    <w:rsid w:val="00F1244F"/>
    <w:rsid w:val="00F15D7E"/>
    <w:rsid w:val="00F17AEA"/>
    <w:rsid w:val="00F22537"/>
    <w:rsid w:val="00F23BF3"/>
    <w:rsid w:val="00F310C5"/>
    <w:rsid w:val="00F31513"/>
    <w:rsid w:val="00F32263"/>
    <w:rsid w:val="00F327D7"/>
    <w:rsid w:val="00F3352E"/>
    <w:rsid w:val="00F3472E"/>
    <w:rsid w:val="00F35143"/>
    <w:rsid w:val="00F35DC4"/>
    <w:rsid w:val="00F40D04"/>
    <w:rsid w:val="00F424E8"/>
    <w:rsid w:val="00F42741"/>
    <w:rsid w:val="00F42B8F"/>
    <w:rsid w:val="00F43C36"/>
    <w:rsid w:val="00F471B0"/>
    <w:rsid w:val="00F51463"/>
    <w:rsid w:val="00F51DDD"/>
    <w:rsid w:val="00F52217"/>
    <w:rsid w:val="00F5292B"/>
    <w:rsid w:val="00F530F6"/>
    <w:rsid w:val="00F53A60"/>
    <w:rsid w:val="00F608E3"/>
    <w:rsid w:val="00F6188B"/>
    <w:rsid w:val="00F61E9A"/>
    <w:rsid w:val="00F62341"/>
    <w:rsid w:val="00F62D9C"/>
    <w:rsid w:val="00F63761"/>
    <w:rsid w:val="00F66E02"/>
    <w:rsid w:val="00F66F77"/>
    <w:rsid w:val="00F67D33"/>
    <w:rsid w:val="00F70053"/>
    <w:rsid w:val="00F70741"/>
    <w:rsid w:val="00F70A33"/>
    <w:rsid w:val="00F70B93"/>
    <w:rsid w:val="00F740A3"/>
    <w:rsid w:val="00F7421E"/>
    <w:rsid w:val="00F748EF"/>
    <w:rsid w:val="00F75E4B"/>
    <w:rsid w:val="00F8134C"/>
    <w:rsid w:val="00F81A80"/>
    <w:rsid w:val="00F86FF4"/>
    <w:rsid w:val="00F91094"/>
    <w:rsid w:val="00F93E6B"/>
    <w:rsid w:val="00F94FB5"/>
    <w:rsid w:val="00F953CF"/>
    <w:rsid w:val="00F972E2"/>
    <w:rsid w:val="00FA0FED"/>
    <w:rsid w:val="00FA3D5D"/>
    <w:rsid w:val="00FA4500"/>
    <w:rsid w:val="00FA5945"/>
    <w:rsid w:val="00FA6416"/>
    <w:rsid w:val="00FA763F"/>
    <w:rsid w:val="00FA7B50"/>
    <w:rsid w:val="00FB09ED"/>
    <w:rsid w:val="00FB0FC2"/>
    <w:rsid w:val="00FB1A89"/>
    <w:rsid w:val="00FB3B3A"/>
    <w:rsid w:val="00FB3F3B"/>
    <w:rsid w:val="00FB6079"/>
    <w:rsid w:val="00FB6A05"/>
    <w:rsid w:val="00FC2D4A"/>
    <w:rsid w:val="00FC31EE"/>
    <w:rsid w:val="00FC3444"/>
    <w:rsid w:val="00FC559C"/>
    <w:rsid w:val="00FC6216"/>
    <w:rsid w:val="00FC65F4"/>
    <w:rsid w:val="00FC6614"/>
    <w:rsid w:val="00FD0775"/>
    <w:rsid w:val="00FD0EB0"/>
    <w:rsid w:val="00FE077E"/>
    <w:rsid w:val="00FE1DBB"/>
    <w:rsid w:val="00FE2FFD"/>
    <w:rsid w:val="00FE49F4"/>
    <w:rsid w:val="00FE6771"/>
    <w:rsid w:val="00FE699A"/>
    <w:rsid w:val="00FE7265"/>
    <w:rsid w:val="00FE7565"/>
    <w:rsid w:val="00FF297B"/>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D06"/>
  </w:style>
  <w:style w:type="paragraph" w:styleId="Heading1">
    <w:name w:val="heading 1"/>
    <w:basedOn w:val="Normal"/>
    <w:next w:val="Normal"/>
    <w:link w:val="Heading1Char"/>
    <w:uiPriority w:val="9"/>
    <w:qFormat/>
    <w:rsid w:val="00184866"/>
    <w:pPr>
      <w:keepNext/>
      <w:keepLines/>
      <w:spacing w:before="240" w:after="0"/>
      <w:outlineLvl w:val="0"/>
    </w:pPr>
    <w:rPr>
      <w:rFonts w:ascii="Arial" w:eastAsiaTheme="majorEastAsia" w:hAnsi="Arial" w:cstheme="majorBidi"/>
      <w:b/>
      <w:szCs w:val="32"/>
    </w:rPr>
  </w:style>
  <w:style w:type="paragraph" w:styleId="Heading2">
    <w:name w:val="heading 2"/>
    <w:basedOn w:val="Normal"/>
    <w:next w:val="Normal"/>
    <w:link w:val="Heading2Char"/>
    <w:autoRedefine/>
    <w:uiPriority w:val="9"/>
    <w:unhideWhenUsed/>
    <w:qFormat/>
    <w:rsid w:val="00570A36"/>
    <w:pPr>
      <w:keepNext/>
      <w:keepLines/>
      <w:spacing w:before="40" w:after="0"/>
      <w:outlineLvl w:val="1"/>
    </w:pPr>
    <w:rPr>
      <w:rFonts w:ascii="Arial" w:eastAsia="Calibri" w:hAnsi="Arial" w:cs="Arial"/>
      <w:b/>
    </w:rPr>
  </w:style>
  <w:style w:type="paragraph" w:styleId="Heading3">
    <w:name w:val="heading 3"/>
    <w:basedOn w:val="Normal"/>
    <w:link w:val="Heading3Char"/>
    <w:uiPriority w:val="9"/>
    <w:qFormat/>
    <w:rsid w:val="006049B8"/>
    <w:pPr>
      <w:spacing w:beforeAutospacing="1" w:after="0" w:afterAutospacing="1" w:line="240" w:lineRule="auto"/>
      <w:outlineLvl w:val="2"/>
    </w:pPr>
    <w:rPr>
      <w:rFonts w:ascii="Arial" w:eastAsia="Times New Roman" w:hAnsi="Arial" w:cs="Times New Roman"/>
      <w:b/>
      <w:bCs/>
      <w:szCs w:val="27"/>
    </w:rPr>
  </w:style>
  <w:style w:type="paragraph" w:styleId="Heading4">
    <w:name w:val="heading 4"/>
    <w:basedOn w:val="Normal"/>
    <w:next w:val="Normal"/>
    <w:link w:val="Heading4Char"/>
    <w:uiPriority w:val="9"/>
    <w:unhideWhenUsed/>
    <w:qFormat/>
    <w:rsid w:val="004835E8"/>
    <w:pPr>
      <w:keepNext/>
      <w:keepLines/>
      <w:spacing w:before="40" w:after="0"/>
      <w:outlineLvl w:val="3"/>
    </w:pPr>
    <w:rPr>
      <w:rFonts w:ascii="Calibri" w:eastAsiaTheme="majorEastAsia" w:hAnsi="Calibri" w:cstheme="majorBidi"/>
      <w:i/>
      <w:i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6049B8"/>
    <w:rPr>
      <w:rFonts w:ascii="Arial" w:eastAsia="Times New Roman" w:hAnsi="Arial" w:cs="Times New Roman"/>
      <w:b/>
      <w:bCs/>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184866"/>
    <w:rPr>
      <w:rFonts w:ascii="Arial" w:eastAsiaTheme="majorEastAsia" w:hAnsi="Arial" w:cstheme="majorBidi"/>
      <w:b/>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rsid w:val="00570A36"/>
    <w:rPr>
      <w:rFonts w:ascii="Arial" w:eastAsia="Calibri" w:hAnsi="Arial" w:cs="Arial"/>
      <w:b/>
    </w:rPr>
  </w:style>
  <w:style w:type="character" w:styleId="IntenseEmphasis">
    <w:name w:val="Intense Emphasis"/>
    <w:basedOn w:val="DefaultParagraphFont"/>
    <w:uiPriority w:val="21"/>
    <w:qFormat/>
    <w:rsid w:val="00DD10EA"/>
    <w:rPr>
      <w:i/>
      <w:iCs/>
      <w:color w:val="5B9BD5" w:themeColor="accent1"/>
    </w:rPr>
  </w:style>
  <w:style w:type="paragraph" w:customStyle="1" w:styleId="Default">
    <w:name w:val="Default"/>
    <w:rsid w:val="00A20C3F"/>
    <w:pPr>
      <w:autoSpaceDE w:val="0"/>
      <w:autoSpaceDN w:val="0"/>
      <w:adjustRightInd w:val="0"/>
      <w:spacing w:after="0" w:line="240" w:lineRule="auto"/>
    </w:pPr>
    <w:rPr>
      <w:rFonts w:ascii="Courier New PS" w:hAnsi="Courier New PS" w:cs="Courier New PS"/>
      <w:color w:val="000000"/>
      <w:sz w:val="24"/>
      <w:szCs w:val="24"/>
    </w:rPr>
  </w:style>
  <w:style w:type="character" w:styleId="Strong">
    <w:name w:val="Strong"/>
    <w:basedOn w:val="DefaultParagraphFont"/>
    <w:uiPriority w:val="22"/>
    <w:qFormat/>
    <w:rsid w:val="0006425C"/>
    <w:rPr>
      <w:b/>
      <w:bCs/>
    </w:rPr>
  </w:style>
  <w:style w:type="paragraph" w:styleId="BodyText">
    <w:name w:val="Body Text"/>
    <w:basedOn w:val="Normal"/>
    <w:link w:val="BodyTextChar"/>
    <w:uiPriority w:val="1"/>
    <w:qFormat/>
    <w:rsid w:val="00797AFF"/>
    <w:pPr>
      <w:autoSpaceDE w:val="0"/>
      <w:autoSpaceDN w:val="0"/>
      <w:adjustRightInd w:val="0"/>
      <w:spacing w:before="2" w:after="0" w:line="240" w:lineRule="auto"/>
      <w:ind w:left="39" w:right="118" w:firstLine="720"/>
      <w:jc w:val="both"/>
    </w:pPr>
    <w:rPr>
      <w:rFonts w:ascii="Courier New" w:hAnsi="Courier New" w:cs="Courier New"/>
      <w:sz w:val="24"/>
      <w:szCs w:val="24"/>
      <w:u w:val="single"/>
    </w:rPr>
  </w:style>
  <w:style w:type="character" w:customStyle="1" w:styleId="BodyTextChar">
    <w:name w:val="Body Text Char"/>
    <w:basedOn w:val="DefaultParagraphFont"/>
    <w:link w:val="BodyText"/>
    <w:uiPriority w:val="1"/>
    <w:rsid w:val="00797AFF"/>
    <w:rPr>
      <w:rFonts w:ascii="Courier New" w:hAnsi="Courier New" w:cs="Courier New"/>
      <w:sz w:val="24"/>
      <w:szCs w:val="24"/>
      <w:u w:val="single"/>
    </w:rPr>
  </w:style>
  <w:style w:type="paragraph" w:styleId="NormalWeb">
    <w:name w:val="Normal (Web)"/>
    <w:basedOn w:val="Normal"/>
    <w:uiPriority w:val="99"/>
    <w:semiHidden/>
    <w:unhideWhenUsed/>
    <w:rsid w:val="00670CC7"/>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rsid w:val="004835E8"/>
    <w:rPr>
      <w:rFonts w:ascii="Calibri" w:eastAsiaTheme="majorEastAsia" w:hAnsi="Calibri" w:cstheme="majorBidi"/>
      <w:i/>
      <w:iCs/>
      <w:color w:val="2E74B5" w:themeColor="accent1" w:themeShade="BF"/>
      <w:sz w:val="26"/>
    </w:rPr>
  </w:style>
  <w:style w:type="paragraph" w:customStyle="1" w:styleId="pf0">
    <w:name w:val="pf0"/>
    <w:basedOn w:val="Normal"/>
    <w:rsid w:val="00832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326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034">
      <w:bodyDiv w:val="1"/>
      <w:marLeft w:val="0"/>
      <w:marRight w:val="0"/>
      <w:marTop w:val="0"/>
      <w:marBottom w:val="0"/>
      <w:divBdr>
        <w:top w:val="none" w:sz="0" w:space="0" w:color="auto"/>
        <w:left w:val="none" w:sz="0" w:space="0" w:color="auto"/>
        <w:bottom w:val="none" w:sz="0" w:space="0" w:color="auto"/>
        <w:right w:val="none" w:sz="0" w:space="0" w:color="auto"/>
      </w:divBdr>
    </w:div>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3360187">
      <w:bodyDiv w:val="1"/>
      <w:marLeft w:val="0"/>
      <w:marRight w:val="0"/>
      <w:marTop w:val="0"/>
      <w:marBottom w:val="0"/>
      <w:divBdr>
        <w:top w:val="none" w:sz="0" w:space="0" w:color="auto"/>
        <w:left w:val="none" w:sz="0" w:space="0" w:color="auto"/>
        <w:bottom w:val="none" w:sz="0" w:space="0" w:color="auto"/>
        <w:right w:val="none" w:sz="0" w:space="0" w:color="auto"/>
      </w:divBdr>
      <w:divsChild>
        <w:div w:id="1289893969">
          <w:marLeft w:val="0"/>
          <w:marRight w:val="0"/>
          <w:marTop w:val="0"/>
          <w:marBottom w:val="0"/>
          <w:divBdr>
            <w:top w:val="none" w:sz="0" w:space="0" w:color="auto"/>
            <w:left w:val="none" w:sz="0" w:space="0" w:color="auto"/>
            <w:bottom w:val="none" w:sz="0" w:space="0" w:color="auto"/>
            <w:right w:val="none" w:sz="0" w:space="0" w:color="auto"/>
          </w:divBdr>
        </w:div>
        <w:div w:id="219094313">
          <w:marLeft w:val="0"/>
          <w:marRight w:val="0"/>
          <w:marTop w:val="0"/>
          <w:marBottom w:val="0"/>
          <w:divBdr>
            <w:top w:val="none" w:sz="0" w:space="0" w:color="auto"/>
            <w:left w:val="none" w:sz="0" w:space="0" w:color="auto"/>
            <w:bottom w:val="none" w:sz="0" w:space="0" w:color="auto"/>
            <w:right w:val="none" w:sz="0" w:space="0" w:color="auto"/>
          </w:divBdr>
        </w:div>
        <w:div w:id="775250217">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28058801">
      <w:bodyDiv w:val="1"/>
      <w:marLeft w:val="0"/>
      <w:marRight w:val="0"/>
      <w:marTop w:val="0"/>
      <w:marBottom w:val="0"/>
      <w:divBdr>
        <w:top w:val="none" w:sz="0" w:space="0" w:color="auto"/>
        <w:left w:val="none" w:sz="0" w:space="0" w:color="auto"/>
        <w:bottom w:val="none" w:sz="0" w:space="0" w:color="auto"/>
        <w:right w:val="none" w:sz="0" w:space="0" w:color="auto"/>
      </w:divBdr>
      <w:divsChild>
        <w:div w:id="998774287">
          <w:marLeft w:val="0"/>
          <w:marRight w:val="0"/>
          <w:marTop w:val="0"/>
          <w:marBottom w:val="0"/>
          <w:divBdr>
            <w:top w:val="none" w:sz="0" w:space="0" w:color="auto"/>
            <w:left w:val="none" w:sz="0" w:space="0" w:color="auto"/>
            <w:bottom w:val="none" w:sz="0" w:space="0" w:color="auto"/>
            <w:right w:val="none" w:sz="0" w:space="0" w:color="auto"/>
          </w:divBdr>
        </w:div>
        <w:div w:id="1490631196">
          <w:marLeft w:val="0"/>
          <w:marRight w:val="0"/>
          <w:marTop w:val="0"/>
          <w:marBottom w:val="0"/>
          <w:divBdr>
            <w:top w:val="none" w:sz="0" w:space="0" w:color="auto"/>
            <w:left w:val="none" w:sz="0" w:space="0" w:color="auto"/>
            <w:bottom w:val="none" w:sz="0" w:space="0" w:color="auto"/>
            <w:right w:val="none" w:sz="0" w:space="0" w:color="auto"/>
          </w:divBdr>
        </w:div>
        <w:div w:id="105931406">
          <w:marLeft w:val="0"/>
          <w:marRight w:val="0"/>
          <w:marTop w:val="0"/>
          <w:marBottom w:val="0"/>
          <w:divBdr>
            <w:top w:val="none" w:sz="0" w:space="0" w:color="auto"/>
            <w:left w:val="none" w:sz="0" w:space="0" w:color="auto"/>
            <w:bottom w:val="none" w:sz="0" w:space="0" w:color="auto"/>
            <w:right w:val="none" w:sz="0" w:space="0" w:color="auto"/>
          </w:divBdr>
          <w:divsChild>
            <w:div w:id="1651860913">
              <w:marLeft w:val="0"/>
              <w:marRight w:val="0"/>
              <w:marTop w:val="0"/>
              <w:marBottom w:val="0"/>
              <w:divBdr>
                <w:top w:val="none" w:sz="0" w:space="0" w:color="auto"/>
                <w:left w:val="none" w:sz="0" w:space="0" w:color="auto"/>
                <w:bottom w:val="none" w:sz="0" w:space="0" w:color="auto"/>
                <w:right w:val="none" w:sz="0" w:space="0" w:color="auto"/>
              </w:divBdr>
            </w:div>
            <w:div w:id="1418868280">
              <w:marLeft w:val="0"/>
              <w:marRight w:val="0"/>
              <w:marTop w:val="0"/>
              <w:marBottom w:val="0"/>
              <w:divBdr>
                <w:top w:val="none" w:sz="0" w:space="0" w:color="auto"/>
                <w:left w:val="none" w:sz="0" w:space="0" w:color="auto"/>
                <w:bottom w:val="none" w:sz="0" w:space="0" w:color="auto"/>
                <w:right w:val="none" w:sz="0" w:space="0" w:color="auto"/>
              </w:divBdr>
            </w:div>
            <w:div w:id="452751709">
              <w:marLeft w:val="0"/>
              <w:marRight w:val="0"/>
              <w:marTop w:val="0"/>
              <w:marBottom w:val="0"/>
              <w:divBdr>
                <w:top w:val="none" w:sz="0" w:space="0" w:color="auto"/>
                <w:left w:val="none" w:sz="0" w:space="0" w:color="auto"/>
                <w:bottom w:val="none" w:sz="0" w:space="0" w:color="auto"/>
                <w:right w:val="none" w:sz="0" w:space="0" w:color="auto"/>
              </w:divBdr>
            </w:div>
            <w:div w:id="369502039">
              <w:marLeft w:val="0"/>
              <w:marRight w:val="0"/>
              <w:marTop w:val="0"/>
              <w:marBottom w:val="0"/>
              <w:divBdr>
                <w:top w:val="none" w:sz="0" w:space="0" w:color="auto"/>
                <w:left w:val="none" w:sz="0" w:space="0" w:color="auto"/>
                <w:bottom w:val="none" w:sz="0" w:space="0" w:color="auto"/>
                <w:right w:val="none" w:sz="0" w:space="0" w:color="auto"/>
              </w:divBdr>
            </w:div>
            <w:div w:id="1526672696">
              <w:marLeft w:val="0"/>
              <w:marRight w:val="0"/>
              <w:marTop w:val="0"/>
              <w:marBottom w:val="0"/>
              <w:divBdr>
                <w:top w:val="none" w:sz="0" w:space="0" w:color="auto"/>
                <w:left w:val="none" w:sz="0" w:space="0" w:color="auto"/>
                <w:bottom w:val="none" w:sz="0" w:space="0" w:color="auto"/>
                <w:right w:val="none" w:sz="0" w:space="0" w:color="auto"/>
              </w:divBdr>
            </w:div>
            <w:div w:id="1679193772">
              <w:marLeft w:val="0"/>
              <w:marRight w:val="0"/>
              <w:marTop w:val="0"/>
              <w:marBottom w:val="0"/>
              <w:divBdr>
                <w:top w:val="none" w:sz="0" w:space="0" w:color="auto"/>
                <w:left w:val="none" w:sz="0" w:space="0" w:color="auto"/>
                <w:bottom w:val="none" w:sz="0" w:space="0" w:color="auto"/>
                <w:right w:val="none" w:sz="0" w:space="0" w:color="auto"/>
              </w:divBdr>
            </w:div>
            <w:div w:id="1645744255">
              <w:marLeft w:val="0"/>
              <w:marRight w:val="0"/>
              <w:marTop w:val="0"/>
              <w:marBottom w:val="0"/>
              <w:divBdr>
                <w:top w:val="none" w:sz="0" w:space="0" w:color="auto"/>
                <w:left w:val="none" w:sz="0" w:space="0" w:color="auto"/>
                <w:bottom w:val="none" w:sz="0" w:space="0" w:color="auto"/>
                <w:right w:val="none" w:sz="0" w:space="0" w:color="auto"/>
              </w:divBdr>
            </w:div>
            <w:div w:id="1517957890">
              <w:marLeft w:val="0"/>
              <w:marRight w:val="0"/>
              <w:marTop w:val="0"/>
              <w:marBottom w:val="0"/>
              <w:divBdr>
                <w:top w:val="none" w:sz="0" w:space="0" w:color="auto"/>
                <w:left w:val="none" w:sz="0" w:space="0" w:color="auto"/>
                <w:bottom w:val="none" w:sz="0" w:space="0" w:color="auto"/>
                <w:right w:val="none" w:sz="0" w:space="0" w:color="auto"/>
              </w:divBdr>
            </w:div>
            <w:div w:id="1891189633">
              <w:marLeft w:val="0"/>
              <w:marRight w:val="0"/>
              <w:marTop w:val="0"/>
              <w:marBottom w:val="0"/>
              <w:divBdr>
                <w:top w:val="none" w:sz="0" w:space="0" w:color="auto"/>
                <w:left w:val="none" w:sz="0" w:space="0" w:color="auto"/>
                <w:bottom w:val="none" w:sz="0" w:space="0" w:color="auto"/>
                <w:right w:val="none" w:sz="0" w:space="0" w:color="auto"/>
              </w:divBdr>
            </w:div>
            <w:div w:id="1251963303">
              <w:marLeft w:val="0"/>
              <w:marRight w:val="0"/>
              <w:marTop w:val="0"/>
              <w:marBottom w:val="0"/>
              <w:divBdr>
                <w:top w:val="none" w:sz="0" w:space="0" w:color="auto"/>
                <w:left w:val="none" w:sz="0" w:space="0" w:color="auto"/>
                <w:bottom w:val="none" w:sz="0" w:space="0" w:color="auto"/>
                <w:right w:val="none" w:sz="0" w:space="0" w:color="auto"/>
              </w:divBdr>
            </w:div>
            <w:div w:id="1212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901">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0728613">
      <w:bodyDiv w:val="1"/>
      <w:marLeft w:val="0"/>
      <w:marRight w:val="0"/>
      <w:marTop w:val="0"/>
      <w:marBottom w:val="0"/>
      <w:divBdr>
        <w:top w:val="none" w:sz="0" w:space="0" w:color="auto"/>
        <w:left w:val="none" w:sz="0" w:space="0" w:color="auto"/>
        <w:bottom w:val="none" w:sz="0" w:space="0" w:color="auto"/>
        <w:right w:val="none" w:sz="0" w:space="0" w:color="auto"/>
      </w:divBdr>
      <w:divsChild>
        <w:div w:id="1743327720">
          <w:marLeft w:val="0"/>
          <w:marRight w:val="0"/>
          <w:marTop w:val="0"/>
          <w:marBottom w:val="0"/>
          <w:divBdr>
            <w:top w:val="none" w:sz="0" w:space="0" w:color="auto"/>
            <w:left w:val="none" w:sz="0" w:space="0" w:color="auto"/>
            <w:bottom w:val="none" w:sz="0" w:space="0" w:color="auto"/>
            <w:right w:val="none" w:sz="0" w:space="0" w:color="auto"/>
          </w:divBdr>
        </w:div>
        <w:div w:id="100759665">
          <w:marLeft w:val="0"/>
          <w:marRight w:val="0"/>
          <w:marTop w:val="0"/>
          <w:marBottom w:val="0"/>
          <w:divBdr>
            <w:top w:val="none" w:sz="0" w:space="0" w:color="auto"/>
            <w:left w:val="none" w:sz="0" w:space="0" w:color="auto"/>
            <w:bottom w:val="none" w:sz="0" w:space="0" w:color="auto"/>
            <w:right w:val="none" w:sz="0" w:space="0" w:color="auto"/>
          </w:divBdr>
        </w:div>
        <w:div w:id="71247751">
          <w:marLeft w:val="0"/>
          <w:marRight w:val="0"/>
          <w:marTop w:val="0"/>
          <w:marBottom w:val="0"/>
          <w:divBdr>
            <w:top w:val="none" w:sz="0" w:space="0" w:color="auto"/>
            <w:left w:val="none" w:sz="0" w:space="0" w:color="auto"/>
            <w:bottom w:val="none" w:sz="0" w:space="0" w:color="auto"/>
            <w:right w:val="none" w:sz="0" w:space="0" w:color="auto"/>
          </w:divBdr>
          <w:divsChild>
            <w:div w:id="1018776572">
              <w:marLeft w:val="0"/>
              <w:marRight w:val="0"/>
              <w:marTop w:val="0"/>
              <w:marBottom w:val="0"/>
              <w:divBdr>
                <w:top w:val="none" w:sz="0" w:space="0" w:color="auto"/>
                <w:left w:val="none" w:sz="0" w:space="0" w:color="auto"/>
                <w:bottom w:val="none" w:sz="0" w:space="0" w:color="auto"/>
                <w:right w:val="none" w:sz="0" w:space="0" w:color="auto"/>
              </w:divBdr>
            </w:div>
            <w:div w:id="569311462">
              <w:marLeft w:val="0"/>
              <w:marRight w:val="0"/>
              <w:marTop w:val="0"/>
              <w:marBottom w:val="0"/>
              <w:divBdr>
                <w:top w:val="none" w:sz="0" w:space="0" w:color="auto"/>
                <w:left w:val="none" w:sz="0" w:space="0" w:color="auto"/>
                <w:bottom w:val="none" w:sz="0" w:space="0" w:color="auto"/>
                <w:right w:val="none" w:sz="0" w:space="0" w:color="auto"/>
              </w:divBdr>
            </w:div>
            <w:div w:id="2010523865">
              <w:marLeft w:val="0"/>
              <w:marRight w:val="0"/>
              <w:marTop w:val="0"/>
              <w:marBottom w:val="0"/>
              <w:divBdr>
                <w:top w:val="none" w:sz="0" w:space="0" w:color="auto"/>
                <w:left w:val="none" w:sz="0" w:space="0" w:color="auto"/>
                <w:bottom w:val="none" w:sz="0" w:space="0" w:color="auto"/>
                <w:right w:val="none" w:sz="0" w:space="0" w:color="auto"/>
              </w:divBdr>
            </w:div>
            <w:div w:id="866601816">
              <w:marLeft w:val="0"/>
              <w:marRight w:val="0"/>
              <w:marTop w:val="0"/>
              <w:marBottom w:val="0"/>
              <w:divBdr>
                <w:top w:val="none" w:sz="0" w:space="0" w:color="auto"/>
                <w:left w:val="none" w:sz="0" w:space="0" w:color="auto"/>
                <w:bottom w:val="none" w:sz="0" w:space="0" w:color="auto"/>
                <w:right w:val="none" w:sz="0" w:space="0" w:color="auto"/>
              </w:divBdr>
            </w:div>
            <w:div w:id="413362881">
              <w:marLeft w:val="0"/>
              <w:marRight w:val="0"/>
              <w:marTop w:val="0"/>
              <w:marBottom w:val="0"/>
              <w:divBdr>
                <w:top w:val="none" w:sz="0" w:space="0" w:color="auto"/>
                <w:left w:val="none" w:sz="0" w:space="0" w:color="auto"/>
                <w:bottom w:val="none" w:sz="0" w:space="0" w:color="auto"/>
                <w:right w:val="none" w:sz="0" w:space="0" w:color="auto"/>
              </w:divBdr>
            </w:div>
            <w:div w:id="492726113">
              <w:marLeft w:val="0"/>
              <w:marRight w:val="0"/>
              <w:marTop w:val="0"/>
              <w:marBottom w:val="0"/>
              <w:divBdr>
                <w:top w:val="none" w:sz="0" w:space="0" w:color="auto"/>
                <w:left w:val="none" w:sz="0" w:space="0" w:color="auto"/>
                <w:bottom w:val="none" w:sz="0" w:space="0" w:color="auto"/>
                <w:right w:val="none" w:sz="0" w:space="0" w:color="auto"/>
              </w:divBdr>
            </w:div>
            <w:div w:id="245190980">
              <w:marLeft w:val="0"/>
              <w:marRight w:val="0"/>
              <w:marTop w:val="0"/>
              <w:marBottom w:val="0"/>
              <w:divBdr>
                <w:top w:val="none" w:sz="0" w:space="0" w:color="auto"/>
                <w:left w:val="none" w:sz="0" w:space="0" w:color="auto"/>
                <w:bottom w:val="none" w:sz="0" w:space="0" w:color="auto"/>
                <w:right w:val="none" w:sz="0" w:space="0" w:color="auto"/>
              </w:divBdr>
            </w:div>
            <w:div w:id="1001784200">
              <w:marLeft w:val="0"/>
              <w:marRight w:val="0"/>
              <w:marTop w:val="0"/>
              <w:marBottom w:val="0"/>
              <w:divBdr>
                <w:top w:val="none" w:sz="0" w:space="0" w:color="auto"/>
                <w:left w:val="none" w:sz="0" w:space="0" w:color="auto"/>
                <w:bottom w:val="none" w:sz="0" w:space="0" w:color="auto"/>
                <w:right w:val="none" w:sz="0" w:space="0" w:color="auto"/>
              </w:divBdr>
            </w:div>
            <w:div w:id="21350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193422951">
      <w:bodyDiv w:val="1"/>
      <w:marLeft w:val="0"/>
      <w:marRight w:val="0"/>
      <w:marTop w:val="0"/>
      <w:marBottom w:val="0"/>
      <w:divBdr>
        <w:top w:val="none" w:sz="0" w:space="0" w:color="auto"/>
        <w:left w:val="none" w:sz="0" w:space="0" w:color="auto"/>
        <w:bottom w:val="none" w:sz="0" w:space="0" w:color="auto"/>
        <w:right w:val="none" w:sz="0" w:space="0" w:color="auto"/>
      </w:divBdr>
    </w:div>
    <w:div w:id="195851430">
      <w:bodyDiv w:val="1"/>
      <w:marLeft w:val="0"/>
      <w:marRight w:val="0"/>
      <w:marTop w:val="0"/>
      <w:marBottom w:val="0"/>
      <w:divBdr>
        <w:top w:val="none" w:sz="0" w:space="0" w:color="auto"/>
        <w:left w:val="none" w:sz="0" w:space="0" w:color="auto"/>
        <w:bottom w:val="none" w:sz="0" w:space="0" w:color="auto"/>
        <w:right w:val="none" w:sz="0" w:space="0" w:color="auto"/>
      </w:divBdr>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39606412">
      <w:bodyDiv w:val="1"/>
      <w:marLeft w:val="0"/>
      <w:marRight w:val="0"/>
      <w:marTop w:val="0"/>
      <w:marBottom w:val="0"/>
      <w:divBdr>
        <w:top w:val="none" w:sz="0" w:space="0" w:color="auto"/>
        <w:left w:val="none" w:sz="0" w:space="0" w:color="auto"/>
        <w:bottom w:val="none" w:sz="0" w:space="0" w:color="auto"/>
        <w:right w:val="none" w:sz="0" w:space="0" w:color="auto"/>
      </w:divBdr>
    </w:div>
    <w:div w:id="244800531">
      <w:bodyDiv w:val="1"/>
      <w:marLeft w:val="0"/>
      <w:marRight w:val="0"/>
      <w:marTop w:val="0"/>
      <w:marBottom w:val="0"/>
      <w:divBdr>
        <w:top w:val="none" w:sz="0" w:space="0" w:color="auto"/>
        <w:left w:val="none" w:sz="0" w:space="0" w:color="auto"/>
        <w:bottom w:val="none" w:sz="0" w:space="0" w:color="auto"/>
        <w:right w:val="none" w:sz="0" w:space="0" w:color="auto"/>
      </w:divBdr>
    </w:div>
    <w:div w:id="263540245">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1541171">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3388">
      <w:bodyDiv w:val="1"/>
      <w:marLeft w:val="0"/>
      <w:marRight w:val="0"/>
      <w:marTop w:val="0"/>
      <w:marBottom w:val="0"/>
      <w:divBdr>
        <w:top w:val="none" w:sz="0" w:space="0" w:color="auto"/>
        <w:left w:val="none" w:sz="0" w:space="0" w:color="auto"/>
        <w:bottom w:val="none" w:sz="0" w:space="0" w:color="auto"/>
        <w:right w:val="none" w:sz="0" w:space="0" w:color="auto"/>
      </w:divBdr>
      <w:divsChild>
        <w:div w:id="708997575">
          <w:marLeft w:val="0"/>
          <w:marRight w:val="0"/>
          <w:marTop w:val="0"/>
          <w:marBottom w:val="0"/>
          <w:divBdr>
            <w:top w:val="none" w:sz="0" w:space="0" w:color="auto"/>
            <w:left w:val="none" w:sz="0" w:space="0" w:color="auto"/>
            <w:bottom w:val="none" w:sz="0" w:space="0" w:color="auto"/>
            <w:right w:val="none" w:sz="0" w:space="0" w:color="auto"/>
          </w:divBdr>
        </w:div>
        <w:div w:id="328093855">
          <w:marLeft w:val="0"/>
          <w:marRight w:val="0"/>
          <w:marTop w:val="0"/>
          <w:marBottom w:val="0"/>
          <w:divBdr>
            <w:top w:val="none" w:sz="0" w:space="0" w:color="auto"/>
            <w:left w:val="none" w:sz="0" w:space="0" w:color="auto"/>
            <w:bottom w:val="none" w:sz="0" w:space="0" w:color="auto"/>
            <w:right w:val="none" w:sz="0" w:space="0" w:color="auto"/>
          </w:divBdr>
        </w:div>
        <w:div w:id="357586964">
          <w:marLeft w:val="0"/>
          <w:marRight w:val="0"/>
          <w:marTop w:val="0"/>
          <w:marBottom w:val="0"/>
          <w:divBdr>
            <w:top w:val="none" w:sz="0" w:space="0" w:color="auto"/>
            <w:left w:val="none" w:sz="0" w:space="0" w:color="auto"/>
            <w:bottom w:val="none" w:sz="0" w:space="0" w:color="auto"/>
            <w:right w:val="none" w:sz="0" w:space="0" w:color="auto"/>
          </w:divBdr>
          <w:divsChild>
            <w:div w:id="2111506556">
              <w:marLeft w:val="0"/>
              <w:marRight w:val="0"/>
              <w:marTop w:val="0"/>
              <w:marBottom w:val="0"/>
              <w:divBdr>
                <w:top w:val="none" w:sz="0" w:space="0" w:color="auto"/>
                <w:left w:val="none" w:sz="0" w:space="0" w:color="auto"/>
                <w:bottom w:val="none" w:sz="0" w:space="0" w:color="auto"/>
                <w:right w:val="none" w:sz="0" w:space="0" w:color="auto"/>
              </w:divBdr>
            </w:div>
            <w:div w:id="126166885">
              <w:marLeft w:val="0"/>
              <w:marRight w:val="0"/>
              <w:marTop w:val="0"/>
              <w:marBottom w:val="0"/>
              <w:divBdr>
                <w:top w:val="none" w:sz="0" w:space="0" w:color="auto"/>
                <w:left w:val="none" w:sz="0" w:space="0" w:color="auto"/>
                <w:bottom w:val="none" w:sz="0" w:space="0" w:color="auto"/>
                <w:right w:val="none" w:sz="0" w:space="0" w:color="auto"/>
              </w:divBdr>
            </w:div>
            <w:div w:id="1680617986">
              <w:marLeft w:val="0"/>
              <w:marRight w:val="0"/>
              <w:marTop w:val="0"/>
              <w:marBottom w:val="0"/>
              <w:divBdr>
                <w:top w:val="none" w:sz="0" w:space="0" w:color="auto"/>
                <w:left w:val="none" w:sz="0" w:space="0" w:color="auto"/>
                <w:bottom w:val="none" w:sz="0" w:space="0" w:color="auto"/>
                <w:right w:val="none" w:sz="0" w:space="0" w:color="auto"/>
              </w:divBdr>
            </w:div>
            <w:div w:id="197860390">
              <w:marLeft w:val="0"/>
              <w:marRight w:val="0"/>
              <w:marTop w:val="0"/>
              <w:marBottom w:val="0"/>
              <w:divBdr>
                <w:top w:val="none" w:sz="0" w:space="0" w:color="auto"/>
                <w:left w:val="none" w:sz="0" w:space="0" w:color="auto"/>
                <w:bottom w:val="none" w:sz="0" w:space="0" w:color="auto"/>
                <w:right w:val="none" w:sz="0" w:space="0" w:color="auto"/>
              </w:divBdr>
            </w:div>
            <w:div w:id="1597782128">
              <w:marLeft w:val="0"/>
              <w:marRight w:val="0"/>
              <w:marTop w:val="0"/>
              <w:marBottom w:val="0"/>
              <w:divBdr>
                <w:top w:val="none" w:sz="0" w:space="0" w:color="auto"/>
                <w:left w:val="none" w:sz="0" w:space="0" w:color="auto"/>
                <w:bottom w:val="none" w:sz="0" w:space="0" w:color="auto"/>
                <w:right w:val="none" w:sz="0" w:space="0" w:color="auto"/>
              </w:divBdr>
            </w:div>
            <w:div w:id="1246649909">
              <w:marLeft w:val="0"/>
              <w:marRight w:val="0"/>
              <w:marTop w:val="0"/>
              <w:marBottom w:val="0"/>
              <w:divBdr>
                <w:top w:val="none" w:sz="0" w:space="0" w:color="auto"/>
                <w:left w:val="none" w:sz="0" w:space="0" w:color="auto"/>
                <w:bottom w:val="none" w:sz="0" w:space="0" w:color="auto"/>
                <w:right w:val="none" w:sz="0" w:space="0" w:color="auto"/>
              </w:divBdr>
            </w:div>
            <w:div w:id="959654847">
              <w:marLeft w:val="0"/>
              <w:marRight w:val="0"/>
              <w:marTop w:val="0"/>
              <w:marBottom w:val="0"/>
              <w:divBdr>
                <w:top w:val="none" w:sz="0" w:space="0" w:color="auto"/>
                <w:left w:val="none" w:sz="0" w:space="0" w:color="auto"/>
                <w:bottom w:val="none" w:sz="0" w:space="0" w:color="auto"/>
                <w:right w:val="none" w:sz="0" w:space="0" w:color="auto"/>
              </w:divBdr>
            </w:div>
            <w:div w:id="1178151823">
              <w:marLeft w:val="0"/>
              <w:marRight w:val="0"/>
              <w:marTop w:val="0"/>
              <w:marBottom w:val="0"/>
              <w:divBdr>
                <w:top w:val="none" w:sz="0" w:space="0" w:color="auto"/>
                <w:left w:val="none" w:sz="0" w:space="0" w:color="auto"/>
                <w:bottom w:val="none" w:sz="0" w:space="0" w:color="auto"/>
                <w:right w:val="none" w:sz="0" w:space="0" w:color="auto"/>
              </w:divBdr>
            </w:div>
            <w:div w:id="808132215">
              <w:marLeft w:val="0"/>
              <w:marRight w:val="0"/>
              <w:marTop w:val="0"/>
              <w:marBottom w:val="0"/>
              <w:divBdr>
                <w:top w:val="none" w:sz="0" w:space="0" w:color="auto"/>
                <w:left w:val="none" w:sz="0" w:space="0" w:color="auto"/>
                <w:bottom w:val="none" w:sz="0" w:space="0" w:color="auto"/>
                <w:right w:val="none" w:sz="0" w:space="0" w:color="auto"/>
              </w:divBdr>
            </w:div>
            <w:div w:id="988247673">
              <w:marLeft w:val="0"/>
              <w:marRight w:val="0"/>
              <w:marTop w:val="0"/>
              <w:marBottom w:val="0"/>
              <w:divBdr>
                <w:top w:val="none" w:sz="0" w:space="0" w:color="auto"/>
                <w:left w:val="none" w:sz="0" w:space="0" w:color="auto"/>
                <w:bottom w:val="none" w:sz="0" w:space="0" w:color="auto"/>
                <w:right w:val="none" w:sz="0" w:space="0" w:color="auto"/>
              </w:divBdr>
            </w:div>
            <w:div w:id="554003777">
              <w:marLeft w:val="0"/>
              <w:marRight w:val="0"/>
              <w:marTop w:val="0"/>
              <w:marBottom w:val="0"/>
              <w:divBdr>
                <w:top w:val="none" w:sz="0" w:space="0" w:color="auto"/>
                <w:left w:val="none" w:sz="0" w:space="0" w:color="auto"/>
                <w:bottom w:val="none" w:sz="0" w:space="0" w:color="auto"/>
                <w:right w:val="none" w:sz="0" w:space="0" w:color="auto"/>
              </w:divBdr>
            </w:div>
            <w:div w:id="1967471382">
              <w:marLeft w:val="0"/>
              <w:marRight w:val="0"/>
              <w:marTop w:val="0"/>
              <w:marBottom w:val="0"/>
              <w:divBdr>
                <w:top w:val="none" w:sz="0" w:space="0" w:color="auto"/>
                <w:left w:val="none" w:sz="0" w:space="0" w:color="auto"/>
                <w:bottom w:val="none" w:sz="0" w:space="0" w:color="auto"/>
                <w:right w:val="none" w:sz="0" w:space="0" w:color="auto"/>
              </w:divBdr>
            </w:div>
            <w:div w:id="1544058767">
              <w:marLeft w:val="0"/>
              <w:marRight w:val="0"/>
              <w:marTop w:val="0"/>
              <w:marBottom w:val="0"/>
              <w:divBdr>
                <w:top w:val="none" w:sz="0" w:space="0" w:color="auto"/>
                <w:left w:val="none" w:sz="0" w:space="0" w:color="auto"/>
                <w:bottom w:val="none" w:sz="0" w:space="0" w:color="auto"/>
                <w:right w:val="none" w:sz="0" w:space="0" w:color="auto"/>
              </w:divBdr>
            </w:div>
            <w:div w:id="1392117441">
              <w:marLeft w:val="0"/>
              <w:marRight w:val="0"/>
              <w:marTop w:val="0"/>
              <w:marBottom w:val="0"/>
              <w:divBdr>
                <w:top w:val="none" w:sz="0" w:space="0" w:color="auto"/>
                <w:left w:val="none" w:sz="0" w:space="0" w:color="auto"/>
                <w:bottom w:val="none" w:sz="0" w:space="0" w:color="auto"/>
                <w:right w:val="none" w:sz="0" w:space="0" w:color="auto"/>
              </w:divBdr>
            </w:div>
            <w:div w:id="549457022">
              <w:marLeft w:val="0"/>
              <w:marRight w:val="0"/>
              <w:marTop w:val="0"/>
              <w:marBottom w:val="0"/>
              <w:divBdr>
                <w:top w:val="none" w:sz="0" w:space="0" w:color="auto"/>
                <w:left w:val="none" w:sz="0" w:space="0" w:color="auto"/>
                <w:bottom w:val="none" w:sz="0" w:space="0" w:color="auto"/>
                <w:right w:val="none" w:sz="0" w:space="0" w:color="auto"/>
              </w:divBdr>
            </w:div>
            <w:div w:id="1177038800">
              <w:marLeft w:val="0"/>
              <w:marRight w:val="0"/>
              <w:marTop w:val="0"/>
              <w:marBottom w:val="0"/>
              <w:divBdr>
                <w:top w:val="none" w:sz="0" w:space="0" w:color="auto"/>
                <w:left w:val="none" w:sz="0" w:space="0" w:color="auto"/>
                <w:bottom w:val="none" w:sz="0" w:space="0" w:color="auto"/>
                <w:right w:val="none" w:sz="0" w:space="0" w:color="auto"/>
              </w:divBdr>
            </w:div>
            <w:div w:id="11556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9760">
      <w:bodyDiv w:val="1"/>
      <w:marLeft w:val="0"/>
      <w:marRight w:val="0"/>
      <w:marTop w:val="0"/>
      <w:marBottom w:val="0"/>
      <w:divBdr>
        <w:top w:val="none" w:sz="0" w:space="0" w:color="auto"/>
        <w:left w:val="none" w:sz="0" w:space="0" w:color="auto"/>
        <w:bottom w:val="none" w:sz="0" w:space="0" w:color="auto"/>
        <w:right w:val="none" w:sz="0" w:space="0" w:color="auto"/>
      </w:divBdr>
    </w:div>
    <w:div w:id="356001779">
      <w:bodyDiv w:val="1"/>
      <w:marLeft w:val="0"/>
      <w:marRight w:val="0"/>
      <w:marTop w:val="0"/>
      <w:marBottom w:val="0"/>
      <w:divBdr>
        <w:top w:val="none" w:sz="0" w:space="0" w:color="auto"/>
        <w:left w:val="none" w:sz="0" w:space="0" w:color="auto"/>
        <w:bottom w:val="none" w:sz="0" w:space="0" w:color="auto"/>
        <w:right w:val="none" w:sz="0" w:space="0" w:color="auto"/>
      </w:divBdr>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0810">
      <w:bodyDiv w:val="1"/>
      <w:marLeft w:val="0"/>
      <w:marRight w:val="0"/>
      <w:marTop w:val="0"/>
      <w:marBottom w:val="0"/>
      <w:divBdr>
        <w:top w:val="none" w:sz="0" w:space="0" w:color="auto"/>
        <w:left w:val="none" w:sz="0" w:space="0" w:color="auto"/>
        <w:bottom w:val="none" w:sz="0" w:space="0" w:color="auto"/>
        <w:right w:val="none" w:sz="0" w:space="0" w:color="auto"/>
      </w:divBdr>
    </w:div>
    <w:div w:id="408234731">
      <w:bodyDiv w:val="1"/>
      <w:marLeft w:val="0"/>
      <w:marRight w:val="0"/>
      <w:marTop w:val="0"/>
      <w:marBottom w:val="0"/>
      <w:divBdr>
        <w:top w:val="none" w:sz="0" w:space="0" w:color="auto"/>
        <w:left w:val="none" w:sz="0" w:space="0" w:color="auto"/>
        <w:bottom w:val="none" w:sz="0" w:space="0" w:color="auto"/>
        <w:right w:val="none" w:sz="0" w:space="0" w:color="auto"/>
      </w:divBdr>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25853429">
      <w:bodyDiv w:val="1"/>
      <w:marLeft w:val="0"/>
      <w:marRight w:val="0"/>
      <w:marTop w:val="0"/>
      <w:marBottom w:val="0"/>
      <w:divBdr>
        <w:top w:val="none" w:sz="0" w:space="0" w:color="auto"/>
        <w:left w:val="none" w:sz="0" w:space="0" w:color="auto"/>
        <w:bottom w:val="none" w:sz="0" w:space="0" w:color="auto"/>
        <w:right w:val="none" w:sz="0" w:space="0" w:color="auto"/>
      </w:divBdr>
      <w:divsChild>
        <w:div w:id="1415203529">
          <w:marLeft w:val="0"/>
          <w:marRight w:val="0"/>
          <w:marTop w:val="0"/>
          <w:marBottom w:val="0"/>
          <w:divBdr>
            <w:top w:val="none" w:sz="0" w:space="0" w:color="auto"/>
            <w:left w:val="none" w:sz="0" w:space="0" w:color="auto"/>
            <w:bottom w:val="none" w:sz="0" w:space="0" w:color="auto"/>
            <w:right w:val="none" w:sz="0" w:space="0" w:color="auto"/>
          </w:divBdr>
        </w:div>
        <w:div w:id="359278402">
          <w:marLeft w:val="0"/>
          <w:marRight w:val="0"/>
          <w:marTop w:val="0"/>
          <w:marBottom w:val="0"/>
          <w:divBdr>
            <w:top w:val="none" w:sz="0" w:space="0" w:color="auto"/>
            <w:left w:val="none" w:sz="0" w:space="0" w:color="auto"/>
            <w:bottom w:val="none" w:sz="0" w:space="0" w:color="auto"/>
            <w:right w:val="none" w:sz="0" w:space="0" w:color="auto"/>
          </w:divBdr>
        </w:div>
        <w:div w:id="2029528107">
          <w:marLeft w:val="0"/>
          <w:marRight w:val="0"/>
          <w:marTop w:val="0"/>
          <w:marBottom w:val="0"/>
          <w:divBdr>
            <w:top w:val="none" w:sz="0" w:space="0" w:color="auto"/>
            <w:left w:val="none" w:sz="0" w:space="0" w:color="auto"/>
            <w:bottom w:val="none" w:sz="0" w:space="0" w:color="auto"/>
            <w:right w:val="none" w:sz="0" w:space="0" w:color="auto"/>
          </w:divBdr>
          <w:divsChild>
            <w:div w:id="5072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1322">
      <w:bodyDiv w:val="1"/>
      <w:marLeft w:val="0"/>
      <w:marRight w:val="0"/>
      <w:marTop w:val="0"/>
      <w:marBottom w:val="0"/>
      <w:divBdr>
        <w:top w:val="none" w:sz="0" w:space="0" w:color="auto"/>
        <w:left w:val="none" w:sz="0" w:space="0" w:color="auto"/>
        <w:bottom w:val="none" w:sz="0" w:space="0" w:color="auto"/>
        <w:right w:val="none" w:sz="0" w:space="0" w:color="auto"/>
      </w:divBdr>
      <w:divsChild>
        <w:div w:id="463081408">
          <w:marLeft w:val="0"/>
          <w:marRight w:val="0"/>
          <w:marTop w:val="0"/>
          <w:marBottom w:val="0"/>
          <w:divBdr>
            <w:top w:val="none" w:sz="0" w:space="0" w:color="auto"/>
            <w:left w:val="none" w:sz="0" w:space="0" w:color="auto"/>
            <w:bottom w:val="none" w:sz="0" w:space="0" w:color="auto"/>
            <w:right w:val="none" w:sz="0" w:space="0" w:color="auto"/>
          </w:divBdr>
        </w:div>
        <w:div w:id="1445075955">
          <w:marLeft w:val="0"/>
          <w:marRight w:val="0"/>
          <w:marTop w:val="0"/>
          <w:marBottom w:val="0"/>
          <w:divBdr>
            <w:top w:val="none" w:sz="0" w:space="0" w:color="auto"/>
            <w:left w:val="none" w:sz="0" w:space="0" w:color="auto"/>
            <w:bottom w:val="none" w:sz="0" w:space="0" w:color="auto"/>
            <w:right w:val="none" w:sz="0" w:space="0" w:color="auto"/>
          </w:divBdr>
        </w:div>
        <w:div w:id="608053188">
          <w:marLeft w:val="0"/>
          <w:marRight w:val="0"/>
          <w:marTop w:val="0"/>
          <w:marBottom w:val="0"/>
          <w:divBdr>
            <w:top w:val="none" w:sz="0" w:space="0" w:color="auto"/>
            <w:left w:val="none" w:sz="0" w:space="0" w:color="auto"/>
            <w:bottom w:val="none" w:sz="0" w:space="0" w:color="auto"/>
            <w:right w:val="none" w:sz="0" w:space="0" w:color="auto"/>
          </w:divBdr>
          <w:divsChild>
            <w:div w:id="1514144563">
              <w:marLeft w:val="0"/>
              <w:marRight w:val="0"/>
              <w:marTop w:val="0"/>
              <w:marBottom w:val="0"/>
              <w:divBdr>
                <w:top w:val="none" w:sz="0" w:space="0" w:color="auto"/>
                <w:left w:val="none" w:sz="0" w:space="0" w:color="auto"/>
                <w:bottom w:val="none" w:sz="0" w:space="0" w:color="auto"/>
                <w:right w:val="none" w:sz="0" w:space="0" w:color="auto"/>
              </w:divBdr>
            </w:div>
            <w:div w:id="962658740">
              <w:marLeft w:val="0"/>
              <w:marRight w:val="0"/>
              <w:marTop w:val="0"/>
              <w:marBottom w:val="0"/>
              <w:divBdr>
                <w:top w:val="none" w:sz="0" w:space="0" w:color="auto"/>
                <w:left w:val="none" w:sz="0" w:space="0" w:color="auto"/>
                <w:bottom w:val="none" w:sz="0" w:space="0" w:color="auto"/>
                <w:right w:val="none" w:sz="0" w:space="0" w:color="auto"/>
              </w:divBdr>
            </w:div>
            <w:div w:id="1893300577">
              <w:marLeft w:val="0"/>
              <w:marRight w:val="0"/>
              <w:marTop w:val="0"/>
              <w:marBottom w:val="0"/>
              <w:divBdr>
                <w:top w:val="none" w:sz="0" w:space="0" w:color="auto"/>
                <w:left w:val="none" w:sz="0" w:space="0" w:color="auto"/>
                <w:bottom w:val="none" w:sz="0" w:space="0" w:color="auto"/>
                <w:right w:val="none" w:sz="0" w:space="0" w:color="auto"/>
              </w:divBdr>
            </w:div>
            <w:div w:id="399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77461733">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0231">
      <w:bodyDiv w:val="1"/>
      <w:marLeft w:val="0"/>
      <w:marRight w:val="0"/>
      <w:marTop w:val="0"/>
      <w:marBottom w:val="0"/>
      <w:divBdr>
        <w:top w:val="none" w:sz="0" w:space="0" w:color="auto"/>
        <w:left w:val="none" w:sz="0" w:space="0" w:color="auto"/>
        <w:bottom w:val="none" w:sz="0" w:space="0" w:color="auto"/>
        <w:right w:val="none" w:sz="0" w:space="0" w:color="auto"/>
      </w:divBdr>
      <w:divsChild>
        <w:div w:id="1945963427">
          <w:marLeft w:val="0"/>
          <w:marRight w:val="0"/>
          <w:marTop w:val="0"/>
          <w:marBottom w:val="0"/>
          <w:divBdr>
            <w:top w:val="none" w:sz="0" w:space="0" w:color="auto"/>
            <w:left w:val="none" w:sz="0" w:space="0" w:color="auto"/>
            <w:bottom w:val="none" w:sz="0" w:space="0" w:color="auto"/>
            <w:right w:val="none" w:sz="0" w:space="0" w:color="auto"/>
          </w:divBdr>
        </w:div>
        <w:div w:id="1824076072">
          <w:marLeft w:val="0"/>
          <w:marRight w:val="0"/>
          <w:marTop w:val="0"/>
          <w:marBottom w:val="0"/>
          <w:divBdr>
            <w:top w:val="none" w:sz="0" w:space="0" w:color="auto"/>
            <w:left w:val="none" w:sz="0" w:space="0" w:color="auto"/>
            <w:bottom w:val="none" w:sz="0" w:space="0" w:color="auto"/>
            <w:right w:val="none" w:sz="0" w:space="0" w:color="auto"/>
          </w:divBdr>
        </w:div>
        <w:div w:id="255140981">
          <w:marLeft w:val="0"/>
          <w:marRight w:val="0"/>
          <w:marTop w:val="0"/>
          <w:marBottom w:val="0"/>
          <w:divBdr>
            <w:top w:val="none" w:sz="0" w:space="0" w:color="auto"/>
            <w:left w:val="none" w:sz="0" w:space="0" w:color="auto"/>
            <w:bottom w:val="none" w:sz="0" w:space="0" w:color="auto"/>
            <w:right w:val="none" w:sz="0" w:space="0" w:color="auto"/>
          </w:divBdr>
          <w:divsChild>
            <w:div w:id="1895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5289">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37802252">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44773588">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456">
      <w:bodyDiv w:val="1"/>
      <w:marLeft w:val="0"/>
      <w:marRight w:val="0"/>
      <w:marTop w:val="0"/>
      <w:marBottom w:val="0"/>
      <w:divBdr>
        <w:top w:val="none" w:sz="0" w:space="0" w:color="auto"/>
        <w:left w:val="none" w:sz="0" w:space="0" w:color="auto"/>
        <w:bottom w:val="none" w:sz="0" w:space="0" w:color="auto"/>
        <w:right w:val="none" w:sz="0" w:space="0" w:color="auto"/>
      </w:divBdr>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427">
      <w:bodyDiv w:val="1"/>
      <w:marLeft w:val="0"/>
      <w:marRight w:val="0"/>
      <w:marTop w:val="0"/>
      <w:marBottom w:val="0"/>
      <w:divBdr>
        <w:top w:val="none" w:sz="0" w:space="0" w:color="auto"/>
        <w:left w:val="none" w:sz="0" w:space="0" w:color="auto"/>
        <w:bottom w:val="none" w:sz="0" w:space="0" w:color="auto"/>
        <w:right w:val="none" w:sz="0" w:space="0" w:color="auto"/>
      </w:divBdr>
      <w:divsChild>
        <w:div w:id="264386480">
          <w:marLeft w:val="0"/>
          <w:marRight w:val="0"/>
          <w:marTop w:val="0"/>
          <w:marBottom w:val="0"/>
          <w:divBdr>
            <w:top w:val="none" w:sz="0" w:space="0" w:color="auto"/>
            <w:left w:val="none" w:sz="0" w:space="0" w:color="auto"/>
            <w:bottom w:val="none" w:sz="0" w:space="0" w:color="auto"/>
            <w:right w:val="none" w:sz="0" w:space="0" w:color="auto"/>
          </w:divBdr>
        </w:div>
        <w:div w:id="1968929818">
          <w:marLeft w:val="0"/>
          <w:marRight w:val="0"/>
          <w:marTop w:val="0"/>
          <w:marBottom w:val="0"/>
          <w:divBdr>
            <w:top w:val="none" w:sz="0" w:space="0" w:color="auto"/>
            <w:left w:val="none" w:sz="0" w:space="0" w:color="auto"/>
            <w:bottom w:val="none" w:sz="0" w:space="0" w:color="auto"/>
            <w:right w:val="none" w:sz="0" w:space="0" w:color="auto"/>
          </w:divBdr>
        </w:div>
        <w:div w:id="1473212915">
          <w:marLeft w:val="0"/>
          <w:marRight w:val="0"/>
          <w:marTop w:val="0"/>
          <w:marBottom w:val="0"/>
          <w:divBdr>
            <w:top w:val="none" w:sz="0" w:space="0" w:color="auto"/>
            <w:left w:val="none" w:sz="0" w:space="0" w:color="auto"/>
            <w:bottom w:val="none" w:sz="0" w:space="0" w:color="auto"/>
            <w:right w:val="none" w:sz="0" w:space="0" w:color="auto"/>
          </w:divBdr>
          <w:divsChild>
            <w:div w:id="196748066">
              <w:marLeft w:val="0"/>
              <w:marRight w:val="0"/>
              <w:marTop w:val="0"/>
              <w:marBottom w:val="0"/>
              <w:divBdr>
                <w:top w:val="none" w:sz="0" w:space="0" w:color="auto"/>
                <w:left w:val="none" w:sz="0" w:space="0" w:color="auto"/>
                <w:bottom w:val="none" w:sz="0" w:space="0" w:color="auto"/>
                <w:right w:val="none" w:sz="0" w:space="0" w:color="auto"/>
              </w:divBdr>
            </w:div>
            <w:div w:id="1634869701">
              <w:marLeft w:val="0"/>
              <w:marRight w:val="0"/>
              <w:marTop w:val="0"/>
              <w:marBottom w:val="0"/>
              <w:divBdr>
                <w:top w:val="none" w:sz="0" w:space="0" w:color="auto"/>
                <w:left w:val="none" w:sz="0" w:space="0" w:color="auto"/>
                <w:bottom w:val="none" w:sz="0" w:space="0" w:color="auto"/>
                <w:right w:val="none" w:sz="0" w:space="0" w:color="auto"/>
              </w:divBdr>
            </w:div>
            <w:div w:id="556012847">
              <w:marLeft w:val="0"/>
              <w:marRight w:val="0"/>
              <w:marTop w:val="0"/>
              <w:marBottom w:val="0"/>
              <w:divBdr>
                <w:top w:val="none" w:sz="0" w:space="0" w:color="auto"/>
                <w:left w:val="none" w:sz="0" w:space="0" w:color="auto"/>
                <w:bottom w:val="none" w:sz="0" w:space="0" w:color="auto"/>
                <w:right w:val="none" w:sz="0" w:space="0" w:color="auto"/>
              </w:divBdr>
            </w:div>
            <w:div w:id="908730122">
              <w:marLeft w:val="0"/>
              <w:marRight w:val="0"/>
              <w:marTop w:val="0"/>
              <w:marBottom w:val="0"/>
              <w:divBdr>
                <w:top w:val="none" w:sz="0" w:space="0" w:color="auto"/>
                <w:left w:val="none" w:sz="0" w:space="0" w:color="auto"/>
                <w:bottom w:val="none" w:sz="0" w:space="0" w:color="auto"/>
                <w:right w:val="none" w:sz="0" w:space="0" w:color="auto"/>
              </w:divBdr>
            </w:div>
            <w:div w:id="1125730077">
              <w:marLeft w:val="0"/>
              <w:marRight w:val="0"/>
              <w:marTop w:val="0"/>
              <w:marBottom w:val="0"/>
              <w:divBdr>
                <w:top w:val="none" w:sz="0" w:space="0" w:color="auto"/>
                <w:left w:val="none" w:sz="0" w:space="0" w:color="auto"/>
                <w:bottom w:val="none" w:sz="0" w:space="0" w:color="auto"/>
                <w:right w:val="none" w:sz="0" w:space="0" w:color="auto"/>
              </w:divBdr>
            </w:div>
            <w:div w:id="1129201201">
              <w:marLeft w:val="0"/>
              <w:marRight w:val="0"/>
              <w:marTop w:val="0"/>
              <w:marBottom w:val="0"/>
              <w:divBdr>
                <w:top w:val="none" w:sz="0" w:space="0" w:color="auto"/>
                <w:left w:val="none" w:sz="0" w:space="0" w:color="auto"/>
                <w:bottom w:val="none" w:sz="0" w:space="0" w:color="auto"/>
                <w:right w:val="none" w:sz="0" w:space="0" w:color="auto"/>
              </w:divBdr>
            </w:div>
            <w:div w:id="191918534">
              <w:marLeft w:val="0"/>
              <w:marRight w:val="0"/>
              <w:marTop w:val="0"/>
              <w:marBottom w:val="0"/>
              <w:divBdr>
                <w:top w:val="none" w:sz="0" w:space="0" w:color="auto"/>
                <w:left w:val="none" w:sz="0" w:space="0" w:color="auto"/>
                <w:bottom w:val="none" w:sz="0" w:space="0" w:color="auto"/>
                <w:right w:val="none" w:sz="0" w:space="0" w:color="auto"/>
              </w:divBdr>
            </w:div>
            <w:div w:id="1747221480">
              <w:marLeft w:val="0"/>
              <w:marRight w:val="0"/>
              <w:marTop w:val="0"/>
              <w:marBottom w:val="0"/>
              <w:divBdr>
                <w:top w:val="none" w:sz="0" w:space="0" w:color="auto"/>
                <w:left w:val="none" w:sz="0" w:space="0" w:color="auto"/>
                <w:bottom w:val="none" w:sz="0" w:space="0" w:color="auto"/>
                <w:right w:val="none" w:sz="0" w:space="0" w:color="auto"/>
              </w:divBdr>
            </w:div>
            <w:div w:id="270749372">
              <w:marLeft w:val="0"/>
              <w:marRight w:val="0"/>
              <w:marTop w:val="0"/>
              <w:marBottom w:val="0"/>
              <w:divBdr>
                <w:top w:val="none" w:sz="0" w:space="0" w:color="auto"/>
                <w:left w:val="none" w:sz="0" w:space="0" w:color="auto"/>
                <w:bottom w:val="none" w:sz="0" w:space="0" w:color="auto"/>
                <w:right w:val="none" w:sz="0" w:space="0" w:color="auto"/>
              </w:divBdr>
            </w:div>
            <w:div w:id="277027549">
              <w:marLeft w:val="0"/>
              <w:marRight w:val="0"/>
              <w:marTop w:val="0"/>
              <w:marBottom w:val="0"/>
              <w:divBdr>
                <w:top w:val="none" w:sz="0" w:space="0" w:color="auto"/>
                <w:left w:val="none" w:sz="0" w:space="0" w:color="auto"/>
                <w:bottom w:val="none" w:sz="0" w:space="0" w:color="auto"/>
                <w:right w:val="none" w:sz="0" w:space="0" w:color="auto"/>
              </w:divBdr>
            </w:div>
            <w:div w:id="2242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3817">
      <w:bodyDiv w:val="1"/>
      <w:marLeft w:val="0"/>
      <w:marRight w:val="0"/>
      <w:marTop w:val="0"/>
      <w:marBottom w:val="0"/>
      <w:divBdr>
        <w:top w:val="none" w:sz="0" w:space="0" w:color="auto"/>
        <w:left w:val="none" w:sz="0" w:space="0" w:color="auto"/>
        <w:bottom w:val="none" w:sz="0" w:space="0" w:color="auto"/>
        <w:right w:val="none" w:sz="0" w:space="0" w:color="auto"/>
      </w:divBdr>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49181276">
      <w:bodyDiv w:val="1"/>
      <w:marLeft w:val="0"/>
      <w:marRight w:val="0"/>
      <w:marTop w:val="0"/>
      <w:marBottom w:val="0"/>
      <w:divBdr>
        <w:top w:val="none" w:sz="0" w:space="0" w:color="auto"/>
        <w:left w:val="none" w:sz="0" w:space="0" w:color="auto"/>
        <w:bottom w:val="none" w:sz="0" w:space="0" w:color="auto"/>
        <w:right w:val="none" w:sz="0" w:space="0" w:color="auto"/>
      </w:divBdr>
    </w:div>
    <w:div w:id="870145993">
      <w:bodyDiv w:val="1"/>
      <w:marLeft w:val="0"/>
      <w:marRight w:val="0"/>
      <w:marTop w:val="0"/>
      <w:marBottom w:val="0"/>
      <w:divBdr>
        <w:top w:val="none" w:sz="0" w:space="0" w:color="auto"/>
        <w:left w:val="none" w:sz="0" w:space="0" w:color="auto"/>
        <w:bottom w:val="none" w:sz="0" w:space="0" w:color="auto"/>
        <w:right w:val="none" w:sz="0" w:space="0" w:color="auto"/>
      </w:divBdr>
      <w:divsChild>
        <w:div w:id="141771281">
          <w:marLeft w:val="0"/>
          <w:marRight w:val="0"/>
          <w:marTop w:val="0"/>
          <w:marBottom w:val="0"/>
          <w:divBdr>
            <w:top w:val="none" w:sz="0" w:space="0" w:color="auto"/>
            <w:left w:val="none" w:sz="0" w:space="0" w:color="auto"/>
            <w:bottom w:val="none" w:sz="0" w:space="0" w:color="auto"/>
            <w:right w:val="none" w:sz="0" w:space="0" w:color="auto"/>
          </w:divBdr>
        </w:div>
        <w:div w:id="407846509">
          <w:marLeft w:val="0"/>
          <w:marRight w:val="0"/>
          <w:marTop w:val="0"/>
          <w:marBottom w:val="0"/>
          <w:divBdr>
            <w:top w:val="none" w:sz="0" w:space="0" w:color="auto"/>
            <w:left w:val="none" w:sz="0" w:space="0" w:color="auto"/>
            <w:bottom w:val="none" w:sz="0" w:space="0" w:color="auto"/>
            <w:right w:val="none" w:sz="0" w:space="0" w:color="auto"/>
          </w:divBdr>
        </w:div>
        <w:div w:id="771321375">
          <w:marLeft w:val="0"/>
          <w:marRight w:val="0"/>
          <w:marTop w:val="0"/>
          <w:marBottom w:val="0"/>
          <w:divBdr>
            <w:top w:val="none" w:sz="0" w:space="0" w:color="auto"/>
            <w:left w:val="none" w:sz="0" w:space="0" w:color="auto"/>
            <w:bottom w:val="none" w:sz="0" w:space="0" w:color="auto"/>
            <w:right w:val="none" w:sz="0" w:space="0" w:color="auto"/>
          </w:divBdr>
          <w:divsChild>
            <w:div w:id="1752391527">
              <w:marLeft w:val="0"/>
              <w:marRight w:val="0"/>
              <w:marTop w:val="0"/>
              <w:marBottom w:val="0"/>
              <w:divBdr>
                <w:top w:val="none" w:sz="0" w:space="0" w:color="auto"/>
                <w:left w:val="none" w:sz="0" w:space="0" w:color="auto"/>
                <w:bottom w:val="none" w:sz="0" w:space="0" w:color="auto"/>
                <w:right w:val="none" w:sz="0" w:space="0" w:color="auto"/>
              </w:divBdr>
            </w:div>
            <w:div w:id="194193152">
              <w:marLeft w:val="0"/>
              <w:marRight w:val="0"/>
              <w:marTop w:val="0"/>
              <w:marBottom w:val="0"/>
              <w:divBdr>
                <w:top w:val="none" w:sz="0" w:space="0" w:color="auto"/>
                <w:left w:val="none" w:sz="0" w:space="0" w:color="auto"/>
                <w:bottom w:val="none" w:sz="0" w:space="0" w:color="auto"/>
                <w:right w:val="none" w:sz="0" w:space="0" w:color="auto"/>
              </w:divBdr>
            </w:div>
            <w:div w:id="8348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011">
      <w:bodyDiv w:val="1"/>
      <w:marLeft w:val="0"/>
      <w:marRight w:val="0"/>
      <w:marTop w:val="0"/>
      <w:marBottom w:val="0"/>
      <w:divBdr>
        <w:top w:val="none" w:sz="0" w:space="0" w:color="auto"/>
        <w:left w:val="none" w:sz="0" w:space="0" w:color="auto"/>
        <w:bottom w:val="none" w:sz="0" w:space="0" w:color="auto"/>
        <w:right w:val="none" w:sz="0" w:space="0" w:color="auto"/>
      </w:divBdr>
      <w:divsChild>
        <w:div w:id="822744388">
          <w:marLeft w:val="0"/>
          <w:marRight w:val="0"/>
          <w:marTop w:val="0"/>
          <w:marBottom w:val="0"/>
          <w:divBdr>
            <w:top w:val="none" w:sz="0" w:space="0" w:color="auto"/>
            <w:left w:val="none" w:sz="0" w:space="0" w:color="auto"/>
            <w:bottom w:val="none" w:sz="0" w:space="0" w:color="auto"/>
            <w:right w:val="none" w:sz="0" w:space="0" w:color="auto"/>
          </w:divBdr>
        </w:div>
        <w:div w:id="1566263046">
          <w:marLeft w:val="0"/>
          <w:marRight w:val="0"/>
          <w:marTop w:val="0"/>
          <w:marBottom w:val="0"/>
          <w:divBdr>
            <w:top w:val="none" w:sz="0" w:space="0" w:color="auto"/>
            <w:left w:val="none" w:sz="0" w:space="0" w:color="auto"/>
            <w:bottom w:val="none" w:sz="0" w:space="0" w:color="auto"/>
            <w:right w:val="none" w:sz="0" w:space="0" w:color="auto"/>
          </w:divBdr>
        </w:div>
        <w:div w:id="1684549170">
          <w:marLeft w:val="0"/>
          <w:marRight w:val="0"/>
          <w:marTop w:val="0"/>
          <w:marBottom w:val="0"/>
          <w:divBdr>
            <w:top w:val="none" w:sz="0" w:space="0" w:color="auto"/>
            <w:left w:val="none" w:sz="0" w:space="0" w:color="auto"/>
            <w:bottom w:val="none" w:sz="0" w:space="0" w:color="auto"/>
            <w:right w:val="none" w:sz="0" w:space="0" w:color="auto"/>
          </w:divBdr>
          <w:divsChild>
            <w:div w:id="1430661197">
              <w:marLeft w:val="0"/>
              <w:marRight w:val="0"/>
              <w:marTop w:val="0"/>
              <w:marBottom w:val="0"/>
              <w:divBdr>
                <w:top w:val="none" w:sz="0" w:space="0" w:color="auto"/>
                <w:left w:val="none" w:sz="0" w:space="0" w:color="auto"/>
                <w:bottom w:val="none" w:sz="0" w:space="0" w:color="auto"/>
                <w:right w:val="none" w:sz="0" w:space="0" w:color="auto"/>
              </w:divBdr>
            </w:div>
            <w:div w:id="885487384">
              <w:marLeft w:val="0"/>
              <w:marRight w:val="0"/>
              <w:marTop w:val="0"/>
              <w:marBottom w:val="0"/>
              <w:divBdr>
                <w:top w:val="none" w:sz="0" w:space="0" w:color="auto"/>
                <w:left w:val="none" w:sz="0" w:space="0" w:color="auto"/>
                <w:bottom w:val="none" w:sz="0" w:space="0" w:color="auto"/>
                <w:right w:val="none" w:sz="0" w:space="0" w:color="auto"/>
              </w:divBdr>
            </w:div>
            <w:div w:id="1818952796">
              <w:marLeft w:val="0"/>
              <w:marRight w:val="0"/>
              <w:marTop w:val="0"/>
              <w:marBottom w:val="0"/>
              <w:divBdr>
                <w:top w:val="none" w:sz="0" w:space="0" w:color="auto"/>
                <w:left w:val="none" w:sz="0" w:space="0" w:color="auto"/>
                <w:bottom w:val="none" w:sz="0" w:space="0" w:color="auto"/>
                <w:right w:val="none" w:sz="0" w:space="0" w:color="auto"/>
              </w:divBdr>
            </w:div>
            <w:div w:id="1418474745">
              <w:marLeft w:val="0"/>
              <w:marRight w:val="0"/>
              <w:marTop w:val="0"/>
              <w:marBottom w:val="0"/>
              <w:divBdr>
                <w:top w:val="none" w:sz="0" w:space="0" w:color="auto"/>
                <w:left w:val="none" w:sz="0" w:space="0" w:color="auto"/>
                <w:bottom w:val="none" w:sz="0" w:space="0" w:color="auto"/>
                <w:right w:val="none" w:sz="0" w:space="0" w:color="auto"/>
              </w:divBdr>
            </w:div>
            <w:div w:id="1025401935">
              <w:marLeft w:val="0"/>
              <w:marRight w:val="0"/>
              <w:marTop w:val="0"/>
              <w:marBottom w:val="0"/>
              <w:divBdr>
                <w:top w:val="none" w:sz="0" w:space="0" w:color="auto"/>
                <w:left w:val="none" w:sz="0" w:space="0" w:color="auto"/>
                <w:bottom w:val="none" w:sz="0" w:space="0" w:color="auto"/>
                <w:right w:val="none" w:sz="0" w:space="0" w:color="auto"/>
              </w:divBdr>
            </w:div>
            <w:div w:id="1394113744">
              <w:marLeft w:val="0"/>
              <w:marRight w:val="0"/>
              <w:marTop w:val="0"/>
              <w:marBottom w:val="0"/>
              <w:divBdr>
                <w:top w:val="none" w:sz="0" w:space="0" w:color="auto"/>
                <w:left w:val="none" w:sz="0" w:space="0" w:color="auto"/>
                <w:bottom w:val="none" w:sz="0" w:space="0" w:color="auto"/>
                <w:right w:val="none" w:sz="0" w:space="0" w:color="auto"/>
              </w:divBdr>
            </w:div>
            <w:div w:id="1438254040">
              <w:marLeft w:val="0"/>
              <w:marRight w:val="0"/>
              <w:marTop w:val="0"/>
              <w:marBottom w:val="0"/>
              <w:divBdr>
                <w:top w:val="none" w:sz="0" w:space="0" w:color="auto"/>
                <w:left w:val="none" w:sz="0" w:space="0" w:color="auto"/>
                <w:bottom w:val="none" w:sz="0" w:space="0" w:color="auto"/>
                <w:right w:val="none" w:sz="0" w:space="0" w:color="auto"/>
              </w:divBdr>
            </w:div>
            <w:div w:id="235477427">
              <w:marLeft w:val="0"/>
              <w:marRight w:val="0"/>
              <w:marTop w:val="0"/>
              <w:marBottom w:val="0"/>
              <w:divBdr>
                <w:top w:val="none" w:sz="0" w:space="0" w:color="auto"/>
                <w:left w:val="none" w:sz="0" w:space="0" w:color="auto"/>
                <w:bottom w:val="none" w:sz="0" w:space="0" w:color="auto"/>
                <w:right w:val="none" w:sz="0" w:space="0" w:color="auto"/>
              </w:divBdr>
            </w:div>
            <w:div w:id="1895965217">
              <w:marLeft w:val="0"/>
              <w:marRight w:val="0"/>
              <w:marTop w:val="0"/>
              <w:marBottom w:val="0"/>
              <w:divBdr>
                <w:top w:val="none" w:sz="0" w:space="0" w:color="auto"/>
                <w:left w:val="none" w:sz="0" w:space="0" w:color="auto"/>
                <w:bottom w:val="none" w:sz="0" w:space="0" w:color="auto"/>
                <w:right w:val="none" w:sz="0" w:space="0" w:color="auto"/>
              </w:divBdr>
            </w:div>
            <w:div w:id="1504587700">
              <w:marLeft w:val="0"/>
              <w:marRight w:val="0"/>
              <w:marTop w:val="0"/>
              <w:marBottom w:val="0"/>
              <w:divBdr>
                <w:top w:val="none" w:sz="0" w:space="0" w:color="auto"/>
                <w:left w:val="none" w:sz="0" w:space="0" w:color="auto"/>
                <w:bottom w:val="none" w:sz="0" w:space="0" w:color="auto"/>
                <w:right w:val="none" w:sz="0" w:space="0" w:color="auto"/>
              </w:divBdr>
            </w:div>
            <w:div w:id="512063640">
              <w:marLeft w:val="0"/>
              <w:marRight w:val="0"/>
              <w:marTop w:val="0"/>
              <w:marBottom w:val="0"/>
              <w:divBdr>
                <w:top w:val="none" w:sz="0" w:space="0" w:color="auto"/>
                <w:left w:val="none" w:sz="0" w:space="0" w:color="auto"/>
                <w:bottom w:val="none" w:sz="0" w:space="0" w:color="auto"/>
                <w:right w:val="none" w:sz="0" w:space="0" w:color="auto"/>
              </w:divBdr>
            </w:div>
            <w:div w:id="142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438">
      <w:bodyDiv w:val="1"/>
      <w:marLeft w:val="0"/>
      <w:marRight w:val="0"/>
      <w:marTop w:val="0"/>
      <w:marBottom w:val="0"/>
      <w:divBdr>
        <w:top w:val="none" w:sz="0" w:space="0" w:color="auto"/>
        <w:left w:val="none" w:sz="0" w:space="0" w:color="auto"/>
        <w:bottom w:val="none" w:sz="0" w:space="0" w:color="auto"/>
        <w:right w:val="none" w:sz="0" w:space="0" w:color="auto"/>
      </w:divBdr>
      <w:divsChild>
        <w:div w:id="1402865971">
          <w:marLeft w:val="0"/>
          <w:marRight w:val="0"/>
          <w:marTop w:val="0"/>
          <w:marBottom w:val="0"/>
          <w:divBdr>
            <w:top w:val="none" w:sz="0" w:space="0" w:color="auto"/>
            <w:left w:val="none" w:sz="0" w:space="0" w:color="auto"/>
            <w:bottom w:val="none" w:sz="0" w:space="0" w:color="auto"/>
            <w:right w:val="none" w:sz="0" w:space="0" w:color="auto"/>
          </w:divBdr>
        </w:div>
        <w:div w:id="1838038847">
          <w:marLeft w:val="0"/>
          <w:marRight w:val="0"/>
          <w:marTop w:val="0"/>
          <w:marBottom w:val="0"/>
          <w:divBdr>
            <w:top w:val="none" w:sz="0" w:space="0" w:color="auto"/>
            <w:left w:val="none" w:sz="0" w:space="0" w:color="auto"/>
            <w:bottom w:val="none" w:sz="0" w:space="0" w:color="auto"/>
            <w:right w:val="none" w:sz="0" w:space="0" w:color="auto"/>
          </w:divBdr>
        </w:div>
        <w:div w:id="446824850">
          <w:marLeft w:val="0"/>
          <w:marRight w:val="0"/>
          <w:marTop w:val="0"/>
          <w:marBottom w:val="0"/>
          <w:divBdr>
            <w:top w:val="none" w:sz="0" w:space="0" w:color="auto"/>
            <w:left w:val="none" w:sz="0" w:space="0" w:color="auto"/>
            <w:bottom w:val="none" w:sz="0" w:space="0" w:color="auto"/>
            <w:right w:val="none" w:sz="0" w:space="0" w:color="auto"/>
          </w:divBdr>
          <w:divsChild>
            <w:div w:id="1595672277">
              <w:marLeft w:val="0"/>
              <w:marRight w:val="0"/>
              <w:marTop w:val="0"/>
              <w:marBottom w:val="0"/>
              <w:divBdr>
                <w:top w:val="none" w:sz="0" w:space="0" w:color="auto"/>
                <w:left w:val="none" w:sz="0" w:space="0" w:color="auto"/>
                <w:bottom w:val="none" w:sz="0" w:space="0" w:color="auto"/>
                <w:right w:val="none" w:sz="0" w:space="0" w:color="auto"/>
              </w:divBdr>
            </w:div>
            <w:div w:id="486434257">
              <w:marLeft w:val="0"/>
              <w:marRight w:val="0"/>
              <w:marTop w:val="0"/>
              <w:marBottom w:val="0"/>
              <w:divBdr>
                <w:top w:val="none" w:sz="0" w:space="0" w:color="auto"/>
                <w:left w:val="none" w:sz="0" w:space="0" w:color="auto"/>
                <w:bottom w:val="none" w:sz="0" w:space="0" w:color="auto"/>
                <w:right w:val="none" w:sz="0" w:space="0" w:color="auto"/>
              </w:divBdr>
            </w:div>
            <w:div w:id="620498585">
              <w:marLeft w:val="0"/>
              <w:marRight w:val="0"/>
              <w:marTop w:val="0"/>
              <w:marBottom w:val="0"/>
              <w:divBdr>
                <w:top w:val="none" w:sz="0" w:space="0" w:color="auto"/>
                <w:left w:val="none" w:sz="0" w:space="0" w:color="auto"/>
                <w:bottom w:val="none" w:sz="0" w:space="0" w:color="auto"/>
                <w:right w:val="none" w:sz="0" w:space="0" w:color="auto"/>
              </w:divBdr>
            </w:div>
            <w:div w:id="460879550">
              <w:marLeft w:val="0"/>
              <w:marRight w:val="0"/>
              <w:marTop w:val="0"/>
              <w:marBottom w:val="0"/>
              <w:divBdr>
                <w:top w:val="none" w:sz="0" w:space="0" w:color="auto"/>
                <w:left w:val="none" w:sz="0" w:space="0" w:color="auto"/>
                <w:bottom w:val="none" w:sz="0" w:space="0" w:color="auto"/>
                <w:right w:val="none" w:sz="0" w:space="0" w:color="auto"/>
              </w:divBdr>
            </w:div>
            <w:div w:id="184557861">
              <w:marLeft w:val="0"/>
              <w:marRight w:val="0"/>
              <w:marTop w:val="0"/>
              <w:marBottom w:val="0"/>
              <w:divBdr>
                <w:top w:val="none" w:sz="0" w:space="0" w:color="auto"/>
                <w:left w:val="none" w:sz="0" w:space="0" w:color="auto"/>
                <w:bottom w:val="none" w:sz="0" w:space="0" w:color="auto"/>
                <w:right w:val="none" w:sz="0" w:space="0" w:color="auto"/>
              </w:divBdr>
            </w:div>
            <w:div w:id="735665843">
              <w:marLeft w:val="0"/>
              <w:marRight w:val="0"/>
              <w:marTop w:val="0"/>
              <w:marBottom w:val="0"/>
              <w:divBdr>
                <w:top w:val="none" w:sz="0" w:space="0" w:color="auto"/>
                <w:left w:val="none" w:sz="0" w:space="0" w:color="auto"/>
                <w:bottom w:val="none" w:sz="0" w:space="0" w:color="auto"/>
                <w:right w:val="none" w:sz="0" w:space="0" w:color="auto"/>
              </w:divBdr>
            </w:div>
            <w:div w:id="274094535">
              <w:marLeft w:val="0"/>
              <w:marRight w:val="0"/>
              <w:marTop w:val="0"/>
              <w:marBottom w:val="0"/>
              <w:divBdr>
                <w:top w:val="none" w:sz="0" w:space="0" w:color="auto"/>
                <w:left w:val="none" w:sz="0" w:space="0" w:color="auto"/>
                <w:bottom w:val="none" w:sz="0" w:space="0" w:color="auto"/>
                <w:right w:val="none" w:sz="0" w:space="0" w:color="auto"/>
              </w:divBdr>
            </w:div>
            <w:div w:id="1096749205">
              <w:marLeft w:val="0"/>
              <w:marRight w:val="0"/>
              <w:marTop w:val="0"/>
              <w:marBottom w:val="0"/>
              <w:divBdr>
                <w:top w:val="none" w:sz="0" w:space="0" w:color="auto"/>
                <w:left w:val="none" w:sz="0" w:space="0" w:color="auto"/>
                <w:bottom w:val="none" w:sz="0" w:space="0" w:color="auto"/>
                <w:right w:val="none" w:sz="0" w:space="0" w:color="auto"/>
              </w:divBdr>
            </w:div>
            <w:div w:id="577400394">
              <w:marLeft w:val="0"/>
              <w:marRight w:val="0"/>
              <w:marTop w:val="0"/>
              <w:marBottom w:val="0"/>
              <w:divBdr>
                <w:top w:val="none" w:sz="0" w:space="0" w:color="auto"/>
                <w:left w:val="none" w:sz="0" w:space="0" w:color="auto"/>
                <w:bottom w:val="none" w:sz="0" w:space="0" w:color="auto"/>
                <w:right w:val="none" w:sz="0" w:space="0" w:color="auto"/>
              </w:divBdr>
            </w:div>
            <w:div w:id="1117021009">
              <w:marLeft w:val="0"/>
              <w:marRight w:val="0"/>
              <w:marTop w:val="0"/>
              <w:marBottom w:val="0"/>
              <w:divBdr>
                <w:top w:val="none" w:sz="0" w:space="0" w:color="auto"/>
                <w:left w:val="none" w:sz="0" w:space="0" w:color="auto"/>
                <w:bottom w:val="none" w:sz="0" w:space="0" w:color="auto"/>
                <w:right w:val="none" w:sz="0" w:space="0" w:color="auto"/>
              </w:divBdr>
            </w:div>
            <w:div w:id="1387609852">
              <w:marLeft w:val="0"/>
              <w:marRight w:val="0"/>
              <w:marTop w:val="0"/>
              <w:marBottom w:val="0"/>
              <w:divBdr>
                <w:top w:val="none" w:sz="0" w:space="0" w:color="auto"/>
                <w:left w:val="none" w:sz="0" w:space="0" w:color="auto"/>
                <w:bottom w:val="none" w:sz="0" w:space="0" w:color="auto"/>
                <w:right w:val="none" w:sz="0" w:space="0" w:color="auto"/>
              </w:divBdr>
            </w:div>
            <w:div w:id="1364281467">
              <w:marLeft w:val="0"/>
              <w:marRight w:val="0"/>
              <w:marTop w:val="0"/>
              <w:marBottom w:val="0"/>
              <w:divBdr>
                <w:top w:val="none" w:sz="0" w:space="0" w:color="auto"/>
                <w:left w:val="none" w:sz="0" w:space="0" w:color="auto"/>
                <w:bottom w:val="none" w:sz="0" w:space="0" w:color="auto"/>
                <w:right w:val="none" w:sz="0" w:space="0" w:color="auto"/>
              </w:divBdr>
            </w:div>
            <w:div w:id="638651676">
              <w:marLeft w:val="0"/>
              <w:marRight w:val="0"/>
              <w:marTop w:val="0"/>
              <w:marBottom w:val="0"/>
              <w:divBdr>
                <w:top w:val="none" w:sz="0" w:space="0" w:color="auto"/>
                <w:left w:val="none" w:sz="0" w:space="0" w:color="auto"/>
                <w:bottom w:val="none" w:sz="0" w:space="0" w:color="auto"/>
                <w:right w:val="none" w:sz="0" w:space="0" w:color="auto"/>
              </w:divBdr>
            </w:div>
            <w:div w:id="2066097929">
              <w:marLeft w:val="0"/>
              <w:marRight w:val="0"/>
              <w:marTop w:val="0"/>
              <w:marBottom w:val="0"/>
              <w:divBdr>
                <w:top w:val="none" w:sz="0" w:space="0" w:color="auto"/>
                <w:left w:val="none" w:sz="0" w:space="0" w:color="auto"/>
                <w:bottom w:val="none" w:sz="0" w:space="0" w:color="auto"/>
                <w:right w:val="none" w:sz="0" w:space="0" w:color="auto"/>
              </w:divBdr>
            </w:div>
            <w:div w:id="681125244">
              <w:marLeft w:val="0"/>
              <w:marRight w:val="0"/>
              <w:marTop w:val="0"/>
              <w:marBottom w:val="0"/>
              <w:divBdr>
                <w:top w:val="none" w:sz="0" w:space="0" w:color="auto"/>
                <w:left w:val="none" w:sz="0" w:space="0" w:color="auto"/>
                <w:bottom w:val="none" w:sz="0" w:space="0" w:color="auto"/>
                <w:right w:val="none" w:sz="0" w:space="0" w:color="auto"/>
              </w:divBdr>
            </w:div>
            <w:div w:id="192234266">
              <w:marLeft w:val="0"/>
              <w:marRight w:val="0"/>
              <w:marTop w:val="0"/>
              <w:marBottom w:val="0"/>
              <w:divBdr>
                <w:top w:val="none" w:sz="0" w:space="0" w:color="auto"/>
                <w:left w:val="none" w:sz="0" w:space="0" w:color="auto"/>
                <w:bottom w:val="none" w:sz="0" w:space="0" w:color="auto"/>
                <w:right w:val="none" w:sz="0" w:space="0" w:color="auto"/>
              </w:divBdr>
            </w:div>
            <w:div w:id="1411657749">
              <w:marLeft w:val="0"/>
              <w:marRight w:val="0"/>
              <w:marTop w:val="0"/>
              <w:marBottom w:val="0"/>
              <w:divBdr>
                <w:top w:val="none" w:sz="0" w:space="0" w:color="auto"/>
                <w:left w:val="none" w:sz="0" w:space="0" w:color="auto"/>
                <w:bottom w:val="none" w:sz="0" w:space="0" w:color="auto"/>
                <w:right w:val="none" w:sz="0" w:space="0" w:color="auto"/>
              </w:divBdr>
            </w:div>
            <w:div w:id="665674394">
              <w:marLeft w:val="0"/>
              <w:marRight w:val="0"/>
              <w:marTop w:val="0"/>
              <w:marBottom w:val="0"/>
              <w:divBdr>
                <w:top w:val="none" w:sz="0" w:space="0" w:color="auto"/>
                <w:left w:val="none" w:sz="0" w:space="0" w:color="auto"/>
                <w:bottom w:val="none" w:sz="0" w:space="0" w:color="auto"/>
                <w:right w:val="none" w:sz="0" w:space="0" w:color="auto"/>
              </w:divBdr>
            </w:div>
            <w:div w:id="1312059800">
              <w:marLeft w:val="0"/>
              <w:marRight w:val="0"/>
              <w:marTop w:val="0"/>
              <w:marBottom w:val="0"/>
              <w:divBdr>
                <w:top w:val="none" w:sz="0" w:space="0" w:color="auto"/>
                <w:left w:val="none" w:sz="0" w:space="0" w:color="auto"/>
                <w:bottom w:val="none" w:sz="0" w:space="0" w:color="auto"/>
                <w:right w:val="none" w:sz="0" w:space="0" w:color="auto"/>
              </w:divBdr>
            </w:div>
            <w:div w:id="7105944">
              <w:marLeft w:val="0"/>
              <w:marRight w:val="0"/>
              <w:marTop w:val="0"/>
              <w:marBottom w:val="0"/>
              <w:divBdr>
                <w:top w:val="none" w:sz="0" w:space="0" w:color="auto"/>
                <w:left w:val="none" w:sz="0" w:space="0" w:color="auto"/>
                <w:bottom w:val="none" w:sz="0" w:space="0" w:color="auto"/>
                <w:right w:val="none" w:sz="0" w:space="0" w:color="auto"/>
              </w:divBdr>
            </w:div>
            <w:div w:id="2022469540">
              <w:marLeft w:val="0"/>
              <w:marRight w:val="0"/>
              <w:marTop w:val="0"/>
              <w:marBottom w:val="0"/>
              <w:divBdr>
                <w:top w:val="none" w:sz="0" w:space="0" w:color="auto"/>
                <w:left w:val="none" w:sz="0" w:space="0" w:color="auto"/>
                <w:bottom w:val="none" w:sz="0" w:space="0" w:color="auto"/>
                <w:right w:val="none" w:sz="0" w:space="0" w:color="auto"/>
              </w:divBdr>
            </w:div>
            <w:div w:id="409816974">
              <w:marLeft w:val="0"/>
              <w:marRight w:val="0"/>
              <w:marTop w:val="0"/>
              <w:marBottom w:val="0"/>
              <w:divBdr>
                <w:top w:val="none" w:sz="0" w:space="0" w:color="auto"/>
                <w:left w:val="none" w:sz="0" w:space="0" w:color="auto"/>
                <w:bottom w:val="none" w:sz="0" w:space="0" w:color="auto"/>
                <w:right w:val="none" w:sz="0" w:space="0" w:color="auto"/>
              </w:divBdr>
            </w:div>
            <w:div w:id="4943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6865">
      <w:bodyDiv w:val="1"/>
      <w:marLeft w:val="0"/>
      <w:marRight w:val="0"/>
      <w:marTop w:val="0"/>
      <w:marBottom w:val="0"/>
      <w:divBdr>
        <w:top w:val="none" w:sz="0" w:space="0" w:color="auto"/>
        <w:left w:val="none" w:sz="0" w:space="0" w:color="auto"/>
        <w:bottom w:val="none" w:sz="0" w:space="0" w:color="auto"/>
        <w:right w:val="none" w:sz="0" w:space="0" w:color="auto"/>
      </w:divBdr>
      <w:divsChild>
        <w:div w:id="931277801">
          <w:marLeft w:val="0"/>
          <w:marRight w:val="0"/>
          <w:marTop w:val="0"/>
          <w:marBottom w:val="0"/>
          <w:divBdr>
            <w:top w:val="none" w:sz="0" w:space="0" w:color="auto"/>
            <w:left w:val="none" w:sz="0" w:space="0" w:color="auto"/>
            <w:bottom w:val="none" w:sz="0" w:space="0" w:color="auto"/>
            <w:right w:val="none" w:sz="0" w:space="0" w:color="auto"/>
          </w:divBdr>
        </w:div>
        <w:div w:id="245922702">
          <w:marLeft w:val="0"/>
          <w:marRight w:val="0"/>
          <w:marTop w:val="0"/>
          <w:marBottom w:val="0"/>
          <w:divBdr>
            <w:top w:val="none" w:sz="0" w:space="0" w:color="auto"/>
            <w:left w:val="none" w:sz="0" w:space="0" w:color="auto"/>
            <w:bottom w:val="none" w:sz="0" w:space="0" w:color="auto"/>
            <w:right w:val="none" w:sz="0" w:space="0" w:color="auto"/>
          </w:divBdr>
        </w:div>
        <w:div w:id="154927459">
          <w:marLeft w:val="0"/>
          <w:marRight w:val="0"/>
          <w:marTop w:val="0"/>
          <w:marBottom w:val="0"/>
          <w:divBdr>
            <w:top w:val="none" w:sz="0" w:space="0" w:color="auto"/>
            <w:left w:val="none" w:sz="0" w:space="0" w:color="auto"/>
            <w:bottom w:val="none" w:sz="0" w:space="0" w:color="auto"/>
            <w:right w:val="none" w:sz="0" w:space="0" w:color="auto"/>
          </w:divBdr>
          <w:divsChild>
            <w:div w:id="281349644">
              <w:marLeft w:val="0"/>
              <w:marRight w:val="0"/>
              <w:marTop w:val="0"/>
              <w:marBottom w:val="0"/>
              <w:divBdr>
                <w:top w:val="none" w:sz="0" w:space="0" w:color="auto"/>
                <w:left w:val="none" w:sz="0" w:space="0" w:color="auto"/>
                <w:bottom w:val="none" w:sz="0" w:space="0" w:color="auto"/>
                <w:right w:val="none" w:sz="0" w:space="0" w:color="auto"/>
              </w:divBdr>
            </w:div>
            <w:div w:id="1997612374">
              <w:marLeft w:val="0"/>
              <w:marRight w:val="0"/>
              <w:marTop w:val="0"/>
              <w:marBottom w:val="0"/>
              <w:divBdr>
                <w:top w:val="none" w:sz="0" w:space="0" w:color="auto"/>
                <w:left w:val="none" w:sz="0" w:space="0" w:color="auto"/>
                <w:bottom w:val="none" w:sz="0" w:space="0" w:color="auto"/>
                <w:right w:val="none" w:sz="0" w:space="0" w:color="auto"/>
              </w:divBdr>
            </w:div>
            <w:div w:id="1696543574">
              <w:marLeft w:val="0"/>
              <w:marRight w:val="0"/>
              <w:marTop w:val="0"/>
              <w:marBottom w:val="0"/>
              <w:divBdr>
                <w:top w:val="none" w:sz="0" w:space="0" w:color="auto"/>
                <w:left w:val="none" w:sz="0" w:space="0" w:color="auto"/>
                <w:bottom w:val="none" w:sz="0" w:space="0" w:color="auto"/>
                <w:right w:val="none" w:sz="0" w:space="0" w:color="auto"/>
              </w:divBdr>
            </w:div>
            <w:div w:id="14308905">
              <w:marLeft w:val="0"/>
              <w:marRight w:val="0"/>
              <w:marTop w:val="0"/>
              <w:marBottom w:val="0"/>
              <w:divBdr>
                <w:top w:val="none" w:sz="0" w:space="0" w:color="auto"/>
                <w:left w:val="none" w:sz="0" w:space="0" w:color="auto"/>
                <w:bottom w:val="none" w:sz="0" w:space="0" w:color="auto"/>
                <w:right w:val="none" w:sz="0" w:space="0" w:color="auto"/>
              </w:divBdr>
            </w:div>
            <w:div w:id="2018727046">
              <w:marLeft w:val="0"/>
              <w:marRight w:val="0"/>
              <w:marTop w:val="0"/>
              <w:marBottom w:val="0"/>
              <w:divBdr>
                <w:top w:val="none" w:sz="0" w:space="0" w:color="auto"/>
                <w:left w:val="none" w:sz="0" w:space="0" w:color="auto"/>
                <w:bottom w:val="none" w:sz="0" w:space="0" w:color="auto"/>
                <w:right w:val="none" w:sz="0" w:space="0" w:color="auto"/>
              </w:divBdr>
            </w:div>
            <w:div w:id="1122653827">
              <w:marLeft w:val="0"/>
              <w:marRight w:val="0"/>
              <w:marTop w:val="0"/>
              <w:marBottom w:val="0"/>
              <w:divBdr>
                <w:top w:val="none" w:sz="0" w:space="0" w:color="auto"/>
                <w:left w:val="none" w:sz="0" w:space="0" w:color="auto"/>
                <w:bottom w:val="none" w:sz="0" w:space="0" w:color="auto"/>
                <w:right w:val="none" w:sz="0" w:space="0" w:color="auto"/>
              </w:divBdr>
            </w:div>
            <w:div w:id="18896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23442001">
      <w:bodyDiv w:val="1"/>
      <w:marLeft w:val="0"/>
      <w:marRight w:val="0"/>
      <w:marTop w:val="0"/>
      <w:marBottom w:val="0"/>
      <w:divBdr>
        <w:top w:val="none" w:sz="0" w:space="0" w:color="auto"/>
        <w:left w:val="none" w:sz="0" w:space="0" w:color="auto"/>
        <w:bottom w:val="none" w:sz="0" w:space="0" w:color="auto"/>
        <w:right w:val="none" w:sz="0" w:space="0" w:color="auto"/>
      </w:divBdr>
      <w:divsChild>
        <w:div w:id="1851723245">
          <w:marLeft w:val="0"/>
          <w:marRight w:val="0"/>
          <w:marTop w:val="0"/>
          <w:marBottom w:val="0"/>
          <w:divBdr>
            <w:top w:val="none" w:sz="0" w:space="0" w:color="auto"/>
            <w:left w:val="none" w:sz="0" w:space="0" w:color="auto"/>
            <w:bottom w:val="none" w:sz="0" w:space="0" w:color="auto"/>
            <w:right w:val="none" w:sz="0" w:space="0" w:color="auto"/>
          </w:divBdr>
        </w:div>
        <w:div w:id="1458255007">
          <w:marLeft w:val="0"/>
          <w:marRight w:val="0"/>
          <w:marTop w:val="0"/>
          <w:marBottom w:val="0"/>
          <w:divBdr>
            <w:top w:val="none" w:sz="0" w:space="0" w:color="auto"/>
            <w:left w:val="none" w:sz="0" w:space="0" w:color="auto"/>
            <w:bottom w:val="none" w:sz="0" w:space="0" w:color="auto"/>
            <w:right w:val="none" w:sz="0" w:space="0" w:color="auto"/>
          </w:divBdr>
        </w:div>
        <w:div w:id="1556814692">
          <w:marLeft w:val="0"/>
          <w:marRight w:val="0"/>
          <w:marTop w:val="0"/>
          <w:marBottom w:val="0"/>
          <w:divBdr>
            <w:top w:val="none" w:sz="0" w:space="0" w:color="auto"/>
            <w:left w:val="none" w:sz="0" w:space="0" w:color="auto"/>
            <w:bottom w:val="none" w:sz="0" w:space="0" w:color="auto"/>
            <w:right w:val="none" w:sz="0" w:space="0" w:color="auto"/>
          </w:divBdr>
          <w:divsChild>
            <w:div w:id="1178735499">
              <w:marLeft w:val="0"/>
              <w:marRight w:val="0"/>
              <w:marTop w:val="0"/>
              <w:marBottom w:val="0"/>
              <w:divBdr>
                <w:top w:val="none" w:sz="0" w:space="0" w:color="auto"/>
                <w:left w:val="none" w:sz="0" w:space="0" w:color="auto"/>
                <w:bottom w:val="none" w:sz="0" w:space="0" w:color="auto"/>
                <w:right w:val="none" w:sz="0" w:space="0" w:color="auto"/>
              </w:divBdr>
            </w:div>
            <w:div w:id="1438476790">
              <w:marLeft w:val="0"/>
              <w:marRight w:val="0"/>
              <w:marTop w:val="0"/>
              <w:marBottom w:val="0"/>
              <w:divBdr>
                <w:top w:val="none" w:sz="0" w:space="0" w:color="auto"/>
                <w:left w:val="none" w:sz="0" w:space="0" w:color="auto"/>
                <w:bottom w:val="none" w:sz="0" w:space="0" w:color="auto"/>
                <w:right w:val="none" w:sz="0" w:space="0" w:color="auto"/>
              </w:divBdr>
            </w:div>
            <w:div w:id="601572946">
              <w:marLeft w:val="0"/>
              <w:marRight w:val="0"/>
              <w:marTop w:val="0"/>
              <w:marBottom w:val="0"/>
              <w:divBdr>
                <w:top w:val="none" w:sz="0" w:space="0" w:color="auto"/>
                <w:left w:val="none" w:sz="0" w:space="0" w:color="auto"/>
                <w:bottom w:val="none" w:sz="0" w:space="0" w:color="auto"/>
                <w:right w:val="none" w:sz="0" w:space="0" w:color="auto"/>
              </w:divBdr>
            </w:div>
            <w:div w:id="1300266337">
              <w:marLeft w:val="0"/>
              <w:marRight w:val="0"/>
              <w:marTop w:val="0"/>
              <w:marBottom w:val="0"/>
              <w:divBdr>
                <w:top w:val="none" w:sz="0" w:space="0" w:color="auto"/>
                <w:left w:val="none" w:sz="0" w:space="0" w:color="auto"/>
                <w:bottom w:val="none" w:sz="0" w:space="0" w:color="auto"/>
                <w:right w:val="none" w:sz="0" w:space="0" w:color="auto"/>
              </w:divBdr>
            </w:div>
            <w:div w:id="481434673">
              <w:marLeft w:val="0"/>
              <w:marRight w:val="0"/>
              <w:marTop w:val="0"/>
              <w:marBottom w:val="0"/>
              <w:divBdr>
                <w:top w:val="none" w:sz="0" w:space="0" w:color="auto"/>
                <w:left w:val="none" w:sz="0" w:space="0" w:color="auto"/>
                <w:bottom w:val="none" w:sz="0" w:space="0" w:color="auto"/>
                <w:right w:val="none" w:sz="0" w:space="0" w:color="auto"/>
              </w:divBdr>
            </w:div>
            <w:div w:id="656957548">
              <w:marLeft w:val="0"/>
              <w:marRight w:val="0"/>
              <w:marTop w:val="0"/>
              <w:marBottom w:val="0"/>
              <w:divBdr>
                <w:top w:val="none" w:sz="0" w:space="0" w:color="auto"/>
                <w:left w:val="none" w:sz="0" w:space="0" w:color="auto"/>
                <w:bottom w:val="none" w:sz="0" w:space="0" w:color="auto"/>
                <w:right w:val="none" w:sz="0" w:space="0" w:color="auto"/>
              </w:divBdr>
            </w:div>
            <w:div w:id="560945841">
              <w:marLeft w:val="0"/>
              <w:marRight w:val="0"/>
              <w:marTop w:val="0"/>
              <w:marBottom w:val="0"/>
              <w:divBdr>
                <w:top w:val="none" w:sz="0" w:space="0" w:color="auto"/>
                <w:left w:val="none" w:sz="0" w:space="0" w:color="auto"/>
                <w:bottom w:val="none" w:sz="0" w:space="0" w:color="auto"/>
                <w:right w:val="none" w:sz="0" w:space="0" w:color="auto"/>
              </w:divBdr>
            </w:div>
            <w:div w:id="1327130879">
              <w:marLeft w:val="0"/>
              <w:marRight w:val="0"/>
              <w:marTop w:val="0"/>
              <w:marBottom w:val="0"/>
              <w:divBdr>
                <w:top w:val="none" w:sz="0" w:space="0" w:color="auto"/>
                <w:left w:val="none" w:sz="0" w:space="0" w:color="auto"/>
                <w:bottom w:val="none" w:sz="0" w:space="0" w:color="auto"/>
                <w:right w:val="none" w:sz="0" w:space="0" w:color="auto"/>
              </w:divBdr>
            </w:div>
            <w:div w:id="729351544">
              <w:marLeft w:val="0"/>
              <w:marRight w:val="0"/>
              <w:marTop w:val="0"/>
              <w:marBottom w:val="0"/>
              <w:divBdr>
                <w:top w:val="none" w:sz="0" w:space="0" w:color="auto"/>
                <w:left w:val="none" w:sz="0" w:space="0" w:color="auto"/>
                <w:bottom w:val="none" w:sz="0" w:space="0" w:color="auto"/>
                <w:right w:val="none" w:sz="0" w:space="0" w:color="auto"/>
              </w:divBdr>
            </w:div>
            <w:div w:id="1362899513">
              <w:marLeft w:val="0"/>
              <w:marRight w:val="0"/>
              <w:marTop w:val="0"/>
              <w:marBottom w:val="0"/>
              <w:divBdr>
                <w:top w:val="none" w:sz="0" w:space="0" w:color="auto"/>
                <w:left w:val="none" w:sz="0" w:space="0" w:color="auto"/>
                <w:bottom w:val="none" w:sz="0" w:space="0" w:color="auto"/>
                <w:right w:val="none" w:sz="0" w:space="0" w:color="auto"/>
              </w:divBdr>
            </w:div>
            <w:div w:id="1033385563">
              <w:marLeft w:val="0"/>
              <w:marRight w:val="0"/>
              <w:marTop w:val="0"/>
              <w:marBottom w:val="0"/>
              <w:divBdr>
                <w:top w:val="none" w:sz="0" w:space="0" w:color="auto"/>
                <w:left w:val="none" w:sz="0" w:space="0" w:color="auto"/>
                <w:bottom w:val="none" w:sz="0" w:space="0" w:color="auto"/>
                <w:right w:val="none" w:sz="0" w:space="0" w:color="auto"/>
              </w:divBdr>
            </w:div>
            <w:div w:id="1659576159">
              <w:marLeft w:val="0"/>
              <w:marRight w:val="0"/>
              <w:marTop w:val="0"/>
              <w:marBottom w:val="0"/>
              <w:divBdr>
                <w:top w:val="none" w:sz="0" w:space="0" w:color="auto"/>
                <w:left w:val="none" w:sz="0" w:space="0" w:color="auto"/>
                <w:bottom w:val="none" w:sz="0" w:space="0" w:color="auto"/>
                <w:right w:val="none" w:sz="0" w:space="0" w:color="auto"/>
              </w:divBdr>
            </w:div>
            <w:div w:id="2133472999">
              <w:marLeft w:val="0"/>
              <w:marRight w:val="0"/>
              <w:marTop w:val="0"/>
              <w:marBottom w:val="0"/>
              <w:divBdr>
                <w:top w:val="none" w:sz="0" w:space="0" w:color="auto"/>
                <w:left w:val="none" w:sz="0" w:space="0" w:color="auto"/>
                <w:bottom w:val="none" w:sz="0" w:space="0" w:color="auto"/>
                <w:right w:val="none" w:sz="0" w:space="0" w:color="auto"/>
              </w:divBdr>
            </w:div>
            <w:div w:id="1341739698">
              <w:marLeft w:val="0"/>
              <w:marRight w:val="0"/>
              <w:marTop w:val="0"/>
              <w:marBottom w:val="0"/>
              <w:divBdr>
                <w:top w:val="none" w:sz="0" w:space="0" w:color="auto"/>
                <w:left w:val="none" w:sz="0" w:space="0" w:color="auto"/>
                <w:bottom w:val="none" w:sz="0" w:space="0" w:color="auto"/>
                <w:right w:val="none" w:sz="0" w:space="0" w:color="auto"/>
              </w:divBdr>
            </w:div>
            <w:div w:id="472596766">
              <w:marLeft w:val="0"/>
              <w:marRight w:val="0"/>
              <w:marTop w:val="0"/>
              <w:marBottom w:val="0"/>
              <w:divBdr>
                <w:top w:val="none" w:sz="0" w:space="0" w:color="auto"/>
                <w:left w:val="none" w:sz="0" w:space="0" w:color="auto"/>
                <w:bottom w:val="none" w:sz="0" w:space="0" w:color="auto"/>
                <w:right w:val="none" w:sz="0" w:space="0" w:color="auto"/>
              </w:divBdr>
            </w:div>
            <w:div w:id="902182293">
              <w:marLeft w:val="0"/>
              <w:marRight w:val="0"/>
              <w:marTop w:val="0"/>
              <w:marBottom w:val="0"/>
              <w:divBdr>
                <w:top w:val="none" w:sz="0" w:space="0" w:color="auto"/>
                <w:left w:val="none" w:sz="0" w:space="0" w:color="auto"/>
                <w:bottom w:val="none" w:sz="0" w:space="0" w:color="auto"/>
                <w:right w:val="none" w:sz="0" w:space="0" w:color="auto"/>
              </w:divBdr>
            </w:div>
            <w:div w:id="1024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975">
      <w:bodyDiv w:val="1"/>
      <w:marLeft w:val="0"/>
      <w:marRight w:val="0"/>
      <w:marTop w:val="0"/>
      <w:marBottom w:val="0"/>
      <w:divBdr>
        <w:top w:val="none" w:sz="0" w:space="0" w:color="auto"/>
        <w:left w:val="none" w:sz="0" w:space="0" w:color="auto"/>
        <w:bottom w:val="none" w:sz="0" w:space="0" w:color="auto"/>
        <w:right w:val="none" w:sz="0" w:space="0" w:color="auto"/>
      </w:divBdr>
    </w:div>
    <w:div w:id="1235816280">
      <w:bodyDiv w:val="1"/>
      <w:marLeft w:val="0"/>
      <w:marRight w:val="0"/>
      <w:marTop w:val="0"/>
      <w:marBottom w:val="0"/>
      <w:divBdr>
        <w:top w:val="none" w:sz="0" w:space="0" w:color="auto"/>
        <w:left w:val="none" w:sz="0" w:space="0" w:color="auto"/>
        <w:bottom w:val="none" w:sz="0" w:space="0" w:color="auto"/>
        <w:right w:val="none" w:sz="0" w:space="0" w:color="auto"/>
      </w:divBdr>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57150936">
      <w:bodyDiv w:val="1"/>
      <w:marLeft w:val="0"/>
      <w:marRight w:val="0"/>
      <w:marTop w:val="0"/>
      <w:marBottom w:val="0"/>
      <w:divBdr>
        <w:top w:val="none" w:sz="0" w:space="0" w:color="auto"/>
        <w:left w:val="none" w:sz="0" w:space="0" w:color="auto"/>
        <w:bottom w:val="none" w:sz="0" w:space="0" w:color="auto"/>
        <w:right w:val="none" w:sz="0" w:space="0" w:color="auto"/>
      </w:divBdr>
    </w:div>
    <w:div w:id="135896568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366904971">
      <w:bodyDiv w:val="1"/>
      <w:marLeft w:val="0"/>
      <w:marRight w:val="0"/>
      <w:marTop w:val="0"/>
      <w:marBottom w:val="0"/>
      <w:divBdr>
        <w:top w:val="none" w:sz="0" w:space="0" w:color="auto"/>
        <w:left w:val="none" w:sz="0" w:space="0" w:color="auto"/>
        <w:bottom w:val="none" w:sz="0" w:space="0" w:color="auto"/>
        <w:right w:val="none" w:sz="0" w:space="0" w:color="auto"/>
      </w:divBdr>
      <w:divsChild>
        <w:div w:id="339888829">
          <w:marLeft w:val="0"/>
          <w:marRight w:val="0"/>
          <w:marTop w:val="0"/>
          <w:marBottom w:val="0"/>
          <w:divBdr>
            <w:top w:val="none" w:sz="0" w:space="0" w:color="auto"/>
            <w:left w:val="none" w:sz="0" w:space="0" w:color="auto"/>
            <w:bottom w:val="none" w:sz="0" w:space="0" w:color="auto"/>
            <w:right w:val="none" w:sz="0" w:space="0" w:color="auto"/>
          </w:divBdr>
        </w:div>
        <w:div w:id="1431900289">
          <w:marLeft w:val="0"/>
          <w:marRight w:val="0"/>
          <w:marTop w:val="0"/>
          <w:marBottom w:val="0"/>
          <w:divBdr>
            <w:top w:val="none" w:sz="0" w:space="0" w:color="auto"/>
            <w:left w:val="none" w:sz="0" w:space="0" w:color="auto"/>
            <w:bottom w:val="none" w:sz="0" w:space="0" w:color="auto"/>
            <w:right w:val="none" w:sz="0" w:space="0" w:color="auto"/>
          </w:divBdr>
        </w:div>
        <w:div w:id="557476843">
          <w:marLeft w:val="0"/>
          <w:marRight w:val="0"/>
          <w:marTop w:val="0"/>
          <w:marBottom w:val="0"/>
          <w:divBdr>
            <w:top w:val="none" w:sz="0" w:space="0" w:color="auto"/>
            <w:left w:val="none" w:sz="0" w:space="0" w:color="auto"/>
            <w:bottom w:val="none" w:sz="0" w:space="0" w:color="auto"/>
            <w:right w:val="none" w:sz="0" w:space="0" w:color="auto"/>
          </w:divBdr>
          <w:divsChild>
            <w:div w:id="883561783">
              <w:marLeft w:val="0"/>
              <w:marRight w:val="0"/>
              <w:marTop w:val="0"/>
              <w:marBottom w:val="0"/>
              <w:divBdr>
                <w:top w:val="none" w:sz="0" w:space="0" w:color="auto"/>
                <w:left w:val="none" w:sz="0" w:space="0" w:color="auto"/>
                <w:bottom w:val="none" w:sz="0" w:space="0" w:color="auto"/>
                <w:right w:val="none" w:sz="0" w:space="0" w:color="auto"/>
              </w:divBdr>
            </w:div>
            <w:div w:id="1694259413">
              <w:marLeft w:val="0"/>
              <w:marRight w:val="0"/>
              <w:marTop w:val="0"/>
              <w:marBottom w:val="0"/>
              <w:divBdr>
                <w:top w:val="none" w:sz="0" w:space="0" w:color="auto"/>
                <w:left w:val="none" w:sz="0" w:space="0" w:color="auto"/>
                <w:bottom w:val="none" w:sz="0" w:space="0" w:color="auto"/>
                <w:right w:val="none" w:sz="0" w:space="0" w:color="auto"/>
              </w:divBdr>
            </w:div>
            <w:div w:id="331102066">
              <w:marLeft w:val="0"/>
              <w:marRight w:val="0"/>
              <w:marTop w:val="0"/>
              <w:marBottom w:val="0"/>
              <w:divBdr>
                <w:top w:val="none" w:sz="0" w:space="0" w:color="auto"/>
                <w:left w:val="none" w:sz="0" w:space="0" w:color="auto"/>
                <w:bottom w:val="none" w:sz="0" w:space="0" w:color="auto"/>
                <w:right w:val="none" w:sz="0" w:space="0" w:color="auto"/>
              </w:divBdr>
            </w:div>
            <w:div w:id="970591829">
              <w:marLeft w:val="0"/>
              <w:marRight w:val="0"/>
              <w:marTop w:val="0"/>
              <w:marBottom w:val="0"/>
              <w:divBdr>
                <w:top w:val="none" w:sz="0" w:space="0" w:color="auto"/>
                <w:left w:val="none" w:sz="0" w:space="0" w:color="auto"/>
                <w:bottom w:val="none" w:sz="0" w:space="0" w:color="auto"/>
                <w:right w:val="none" w:sz="0" w:space="0" w:color="auto"/>
              </w:divBdr>
            </w:div>
            <w:div w:id="1466779293">
              <w:marLeft w:val="0"/>
              <w:marRight w:val="0"/>
              <w:marTop w:val="0"/>
              <w:marBottom w:val="0"/>
              <w:divBdr>
                <w:top w:val="none" w:sz="0" w:space="0" w:color="auto"/>
                <w:left w:val="none" w:sz="0" w:space="0" w:color="auto"/>
                <w:bottom w:val="none" w:sz="0" w:space="0" w:color="auto"/>
                <w:right w:val="none" w:sz="0" w:space="0" w:color="auto"/>
              </w:divBdr>
            </w:div>
            <w:div w:id="56898690">
              <w:marLeft w:val="0"/>
              <w:marRight w:val="0"/>
              <w:marTop w:val="0"/>
              <w:marBottom w:val="0"/>
              <w:divBdr>
                <w:top w:val="none" w:sz="0" w:space="0" w:color="auto"/>
                <w:left w:val="none" w:sz="0" w:space="0" w:color="auto"/>
                <w:bottom w:val="none" w:sz="0" w:space="0" w:color="auto"/>
                <w:right w:val="none" w:sz="0" w:space="0" w:color="auto"/>
              </w:divBdr>
            </w:div>
            <w:div w:id="1936787727">
              <w:marLeft w:val="0"/>
              <w:marRight w:val="0"/>
              <w:marTop w:val="0"/>
              <w:marBottom w:val="0"/>
              <w:divBdr>
                <w:top w:val="none" w:sz="0" w:space="0" w:color="auto"/>
                <w:left w:val="none" w:sz="0" w:space="0" w:color="auto"/>
                <w:bottom w:val="none" w:sz="0" w:space="0" w:color="auto"/>
                <w:right w:val="none" w:sz="0" w:space="0" w:color="auto"/>
              </w:divBdr>
            </w:div>
            <w:div w:id="101919616">
              <w:marLeft w:val="0"/>
              <w:marRight w:val="0"/>
              <w:marTop w:val="0"/>
              <w:marBottom w:val="0"/>
              <w:divBdr>
                <w:top w:val="none" w:sz="0" w:space="0" w:color="auto"/>
                <w:left w:val="none" w:sz="0" w:space="0" w:color="auto"/>
                <w:bottom w:val="none" w:sz="0" w:space="0" w:color="auto"/>
                <w:right w:val="none" w:sz="0" w:space="0" w:color="auto"/>
              </w:divBdr>
            </w:div>
            <w:div w:id="1874265107">
              <w:marLeft w:val="0"/>
              <w:marRight w:val="0"/>
              <w:marTop w:val="0"/>
              <w:marBottom w:val="0"/>
              <w:divBdr>
                <w:top w:val="none" w:sz="0" w:space="0" w:color="auto"/>
                <w:left w:val="none" w:sz="0" w:space="0" w:color="auto"/>
                <w:bottom w:val="none" w:sz="0" w:space="0" w:color="auto"/>
                <w:right w:val="none" w:sz="0" w:space="0" w:color="auto"/>
              </w:divBdr>
            </w:div>
            <w:div w:id="1434089599">
              <w:marLeft w:val="0"/>
              <w:marRight w:val="0"/>
              <w:marTop w:val="0"/>
              <w:marBottom w:val="0"/>
              <w:divBdr>
                <w:top w:val="none" w:sz="0" w:space="0" w:color="auto"/>
                <w:left w:val="none" w:sz="0" w:space="0" w:color="auto"/>
                <w:bottom w:val="none" w:sz="0" w:space="0" w:color="auto"/>
                <w:right w:val="none" w:sz="0" w:space="0" w:color="auto"/>
              </w:divBdr>
            </w:div>
            <w:div w:id="1138110609">
              <w:marLeft w:val="0"/>
              <w:marRight w:val="0"/>
              <w:marTop w:val="0"/>
              <w:marBottom w:val="0"/>
              <w:divBdr>
                <w:top w:val="none" w:sz="0" w:space="0" w:color="auto"/>
                <w:left w:val="none" w:sz="0" w:space="0" w:color="auto"/>
                <w:bottom w:val="none" w:sz="0" w:space="0" w:color="auto"/>
                <w:right w:val="none" w:sz="0" w:space="0" w:color="auto"/>
              </w:divBdr>
            </w:div>
            <w:div w:id="1166634460">
              <w:marLeft w:val="0"/>
              <w:marRight w:val="0"/>
              <w:marTop w:val="0"/>
              <w:marBottom w:val="0"/>
              <w:divBdr>
                <w:top w:val="none" w:sz="0" w:space="0" w:color="auto"/>
                <w:left w:val="none" w:sz="0" w:space="0" w:color="auto"/>
                <w:bottom w:val="none" w:sz="0" w:space="0" w:color="auto"/>
                <w:right w:val="none" w:sz="0" w:space="0" w:color="auto"/>
              </w:divBdr>
            </w:div>
            <w:div w:id="1027562289">
              <w:marLeft w:val="0"/>
              <w:marRight w:val="0"/>
              <w:marTop w:val="0"/>
              <w:marBottom w:val="0"/>
              <w:divBdr>
                <w:top w:val="none" w:sz="0" w:space="0" w:color="auto"/>
                <w:left w:val="none" w:sz="0" w:space="0" w:color="auto"/>
                <w:bottom w:val="none" w:sz="0" w:space="0" w:color="auto"/>
                <w:right w:val="none" w:sz="0" w:space="0" w:color="auto"/>
              </w:divBdr>
            </w:div>
            <w:div w:id="137958316">
              <w:marLeft w:val="0"/>
              <w:marRight w:val="0"/>
              <w:marTop w:val="0"/>
              <w:marBottom w:val="0"/>
              <w:divBdr>
                <w:top w:val="none" w:sz="0" w:space="0" w:color="auto"/>
                <w:left w:val="none" w:sz="0" w:space="0" w:color="auto"/>
                <w:bottom w:val="none" w:sz="0" w:space="0" w:color="auto"/>
                <w:right w:val="none" w:sz="0" w:space="0" w:color="auto"/>
              </w:divBdr>
            </w:div>
            <w:div w:id="813717440">
              <w:marLeft w:val="0"/>
              <w:marRight w:val="0"/>
              <w:marTop w:val="0"/>
              <w:marBottom w:val="0"/>
              <w:divBdr>
                <w:top w:val="none" w:sz="0" w:space="0" w:color="auto"/>
                <w:left w:val="none" w:sz="0" w:space="0" w:color="auto"/>
                <w:bottom w:val="none" w:sz="0" w:space="0" w:color="auto"/>
                <w:right w:val="none" w:sz="0" w:space="0" w:color="auto"/>
              </w:divBdr>
            </w:div>
            <w:div w:id="44302592">
              <w:marLeft w:val="0"/>
              <w:marRight w:val="0"/>
              <w:marTop w:val="0"/>
              <w:marBottom w:val="0"/>
              <w:divBdr>
                <w:top w:val="none" w:sz="0" w:space="0" w:color="auto"/>
                <w:left w:val="none" w:sz="0" w:space="0" w:color="auto"/>
                <w:bottom w:val="none" w:sz="0" w:space="0" w:color="auto"/>
                <w:right w:val="none" w:sz="0" w:space="0" w:color="auto"/>
              </w:divBdr>
            </w:div>
            <w:div w:id="1964917170">
              <w:marLeft w:val="0"/>
              <w:marRight w:val="0"/>
              <w:marTop w:val="0"/>
              <w:marBottom w:val="0"/>
              <w:divBdr>
                <w:top w:val="none" w:sz="0" w:space="0" w:color="auto"/>
                <w:left w:val="none" w:sz="0" w:space="0" w:color="auto"/>
                <w:bottom w:val="none" w:sz="0" w:space="0" w:color="auto"/>
                <w:right w:val="none" w:sz="0" w:space="0" w:color="auto"/>
              </w:divBdr>
            </w:div>
            <w:div w:id="1404567621">
              <w:marLeft w:val="0"/>
              <w:marRight w:val="0"/>
              <w:marTop w:val="0"/>
              <w:marBottom w:val="0"/>
              <w:divBdr>
                <w:top w:val="none" w:sz="0" w:space="0" w:color="auto"/>
                <w:left w:val="none" w:sz="0" w:space="0" w:color="auto"/>
                <w:bottom w:val="none" w:sz="0" w:space="0" w:color="auto"/>
                <w:right w:val="none" w:sz="0" w:space="0" w:color="auto"/>
              </w:divBdr>
            </w:div>
            <w:div w:id="1571505563">
              <w:marLeft w:val="0"/>
              <w:marRight w:val="0"/>
              <w:marTop w:val="0"/>
              <w:marBottom w:val="0"/>
              <w:divBdr>
                <w:top w:val="none" w:sz="0" w:space="0" w:color="auto"/>
                <w:left w:val="none" w:sz="0" w:space="0" w:color="auto"/>
                <w:bottom w:val="none" w:sz="0" w:space="0" w:color="auto"/>
                <w:right w:val="none" w:sz="0" w:space="0" w:color="auto"/>
              </w:divBdr>
            </w:div>
            <w:div w:id="1720124978">
              <w:marLeft w:val="0"/>
              <w:marRight w:val="0"/>
              <w:marTop w:val="0"/>
              <w:marBottom w:val="0"/>
              <w:divBdr>
                <w:top w:val="none" w:sz="0" w:space="0" w:color="auto"/>
                <w:left w:val="none" w:sz="0" w:space="0" w:color="auto"/>
                <w:bottom w:val="none" w:sz="0" w:space="0" w:color="auto"/>
                <w:right w:val="none" w:sz="0" w:space="0" w:color="auto"/>
              </w:divBdr>
            </w:div>
            <w:div w:id="783425616">
              <w:marLeft w:val="0"/>
              <w:marRight w:val="0"/>
              <w:marTop w:val="0"/>
              <w:marBottom w:val="0"/>
              <w:divBdr>
                <w:top w:val="none" w:sz="0" w:space="0" w:color="auto"/>
                <w:left w:val="none" w:sz="0" w:space="0" w:color="auto"/>
                <w:bottom w:val="none" w:sz="0" w:space="0" w:color="auto"/>
                <w:right w:val="none" w:sz="0" w:space="0" w:color="auto"/>
              </w:divBdr>
            </w:div>
            <w:div w:id="541745667">
              <w:marLeft w:val="0"/>
              <w:marRight w:val="0"/>
              <w:marTop w:val="0"/>
              <w:marBottom w:val="0"/>
              <w:divBdr>
                <w:top w:val="none" w:sz="0" w:space="0" w:color="auto"/>
                <w:left w:val="none" w:sz="0" w:space="0" w:color="auto"/>
                <w:bottom w:val="none" w:sz="0" w:space="0" w:color="auto"/>
                <w:right w:val="none" w:sz="0" w:space="0" w:color="auto"/>
              </w:divBdr>
            </w:div>
            <w:div w:id="1146356536">
              <w:marLeft w:val="0"/>
              <w:marRight w:val="0"/>
              <w:marTop w:val="0"/>
              <w:marBottom w:val="0"/>
              <w:divBdr>
                <w:top w:val="none" w:sz="0" w:space="0" w:color="auto"/>
                <w:left w:val="none" w:sz="0" w:space="0" w:color="auto"/>
                <w:bottom w:val="none" w:sz="0" w:space="0" w:color="auto"/>
                <w:right w:val="none" w:sz="0" w:space="0" w:color="auto"/>
              </w:divBdr>
            </w:div>
            <w:div w:id="2038309394">
              <w:marLeft w:val="0"/>
              <w:marRight w:val="0"/>
              <w:marTop w:val="0"/>
              <w:marBottom w:val="0"/>
              <w:divBdr>
                <w:top w:val="none" w:sz="0" w:space="0" w:color="auto"/>
                <w:left w:val="none" w:sz="0" w:space="0" w:color="auto"/>
                <w:bottom w:val="none" w:sz="0" w:space="0" w:color="auto"/>
                <w:right w:val="none" w:sz="0" w:space="0" w:color="auto"/>
              </w:divBdr>
            </w:div>
            <w:div w:id="394936878">
              <w:marLeft w:val="0"/>
              <w:marRight w:val="0"/>
              <w:marTop w:val="0"/>
              <w:marBottom w:val="0"/>
              <w:divBdr>
                <w:top w:val="none" w:sz="0" w:space="0" w:color="auto"/>
                <w:left w:val="none" w:sz="0" w:space="0" w:color="auto"/>
                <w:bottom w:val="none" w:sz="0" w:space="0" w:color="auto"/>
                <w:right w:val="none" w:sz="0" w:space="0" w:color="auto"/>
              </w:divBdr>
            </w:div>
            <w:div w:id="2125154329">
              <w:marLeft w:val="0"/>
              <w:marRight w:val="0"/>
              <w:marTop w:val="0"/>
              <w:marBottom w:val="0"/>
              <w:divBdr>
                <w:top w:val="none" w:sz="0" w:space="0" w:color="auto"/>
                <w:left w:val="none" w:sz="0" w:space="0" w:color="auto"/>
                <w:bottom w:val="none" w:sz="0" w:space="0" w:color="auto"/>
                <w:right w:val="none" w:sz="0" w:space="0" w:color="auto"/>
              </w:divBdr>
            </w:div>
            <w:div w:id="81922224">
              <w:marLeft w:val="0"/>
              <w:marRight w:val="0"/>
              <w:marTop w:val="0"/>
              <w:marBottom w:val="0"/>
              <w:divBdr>
                <w:top w:val="none" w:sz="0" w:space="0" w:color="auto"/>
                <w:left w:val="none" w:sz="0" w:space="0" w:color="auto"/>
                <w:bottom w:val="none" w:sz="0" w:space="0" w:color="auto"/>
                <w:right w:val="none" w:sz="0" w:space="0" w:color="auto"/>
              </w:divBdr>
            </w:div>
            <w:div w:id="1193108240">
              <w:marLeft w:val="0"/>
              <w:marRight w:val="0"/>
              <w:marTop w:val="0"/>
              <w:marBottom w:val="0"/>
              <w:divBdr>
                <w:top w:val="none" w:sz="0" w:space="0" w:color="auto"/>
                <w:left w:val="none" w:sz="0" w:space="0" w:color="auto"/>
                <w:bottom w:val="none" w:sz="0" w:space="0" w:color="auto"/>
                <w:right w:val="none" w:sz="0" w:space="0" w:color="auto"/>
              </w:divBdr>
            </w:div>
            <w:div w:id="136537274">
              <w:marLeft w:val="0"/>
              <w:marRight w:val="0"/>
              <w:marTop w:val="0"/>
              <w:marBottom w:val="0"/>
              <w:divBdr>
                <w:top w:val="none" w:sz="0" w:space="0" w:color="auto"/>
                <w:left w:val="none" w:sz="0" w:space="0" w:color="auto"/>
                <w:bottom w:val="none" w:sz="0" w:space="0" w:color="auto"/>
                <w:right w:val="none" w:sz="0" w:space="0" w:color="auto"/>
              </w:divBdr>
            </w:div>
            <w:div w:id="1346978334">
              <w:marLeft w:val="0"/>
              <w:marRight w:val="0"/>
              <w:marTop w:val="0"/>
              <w:marBottom w:val="0"/>
              <w:divBdr>
                <w:top w:val="none" w:sz="0" w:space="0" w:color="auto"/>
                <w:left w:val="none" w:sz="0" w:space="0" w:color="auto"/>
                <w:bottom w:val="none" w:sz="0" w:space="0" w:color="auto"/>
                <w:right w:val="none" w:sz="0" w:space="0" w:color="auto"/>
              </w:divBdr>
            </w:div>
            <w:div w:id="241108284">
              <w:marLeft w:val="0"/>
              <w:marRight w:val="0"/>
              <w:marTop w:val="0"/>
              <w:marBottom w:val="0"/>
              <w:divBdr>
                <w:top w:val="none" w:sz="0" w:space="0" w:color="auto"/>
                <w:left w:val="none" w:sz="0" w:space="0" w:color="auto"/>
                <w:bottom w:val="none" w:sz="0" w:space="0" w:color="auto"/>
                <w:right w:val="none" w:sz="0" w:space="0" w:color="auto"/>
              </w:divBdr>
            </w:div>
            <w:div w:id="1305502906">
              <w:marLeft w:val="0"/>
              <w:marRight w:val="0"/>
              <w:marTop w:val="0"/>
              <w:marBottom w:val="0"/>
              <w:divBdr>
                <w:top w:val="none" w:sz="0" w:space="0" w:color="auto"/>
                <w:left w:val="none" w:sz="0" w:space="0" w:color="auto"/>
                <w:bottom w:val="none" w:sz="0" w:space="0" w:color="auto"/>
                <w:right w:val="none" w:sz="0" w:space="0" w:color="auto"/>
              </w:divBdr>
            </w:div>
            <w:div w:id="1422946825">
              <w:marLeft w:val="0"/>
              <w:marRight w:val="0"/>
              <w:marTop w:val="0"/>
              <w:marBottom w:val="0"/>
              <w:divBdr>
                <w:top w:val="none" w:sz="0" w:space="0" w:color="auto"/>
                <w:left w:val="none" w:sz="0" w:space="0" w:color="auto"/>
                <w:bottom w:val="none" w:sz="0" w:space="0" w:color="auto"/>
                <w:right w:val="none" w:sz="0" w:space="0" w:color="auto"/>
              </w:divBdr>
            </w:div>
            <w:div w:id="1992060422">
              <w:marLeft w:val="0"/>
              <w:marRight w:val="0"/>
              <w:marTop w:val="0"/>
              <w:marBottom w:val="0"/>
              <w:divBdr>
                <w:top w:val="none" w:sz="0" w:space="0" w:color="auto"/>
                <w:left w:val="none" w:sz="0" w:space="0" w:color="auto"/>
                <w:bottom w:val="none" w:sz="0" w:space="0" w:color="auto"/>
                <w:right w:val="none" w:sz="0" w:space="0" w:color="auto"/>
              </w:divBdr>
            </w:div>
            <w:div w:id="2079277457">
              <w:marLeft w:val="0"/>
              <w:marRight w:val="0"/>
              <w:marTop w:val="0"/>
              <w:marBottom w:val="0"/>
              <w:divBdr>
                <w:top w:val="none" w:sz="0" w:space="0" w:color="auto"/>
                <w:left w:val="none" w:sz="0" w:space="0" w:color="auto"/>
                <w:bottom w:val="none" w:sz="0" w:space="0" w:color="auto"/>
                <w:right w:val="none" w:sz="0" w:space="0" w:color="auto"/>
              </w:divBdr>
            </w:div>
            <w:div w:id="1940213587">
              <w:marLeft w:val="0"/>
              <w:marRight w:val="0"/>
              <w:marTop w:val="0"/>
              <w:marBottom w:val="0"/>
              <w:divBdr>
                <w:top w:val="none" w:sz="0" w:space="0" w:color="auto"/>
                <w:left w:val="none" w:sz="0" w:space="0" w:color="auto"/>
                <w:bottom w:val="none" w:sz="0" w:space="0" w:color="auto"/>
                <w:right w:val="none" w:sz="0" w:space="0" w:color="auto"/>
              </w:divBdr>
            </w:div>
            <w:div w:id="1007831722">
              <w:marLeft w:val="0"/>
              <w:marRight w:val="0"/>
              <w:marTop w:val="0"/>
              <w:marBottom w:val="0"/>
              <w:divBdr>
                <w:top w:val="none" w:sz="0" w:space="0" w:color="auto"/>
                <w:left w:val="none" w:sz="0" w:space="0" w:color="auto"/>
                <w:bottom w:val="none" w:sz="0" w:space="0" w:color="auto"/>
                <w:right w:val="none" w:sz="0" w:space="0" w:color="auto"/>
              </w:divBdr>
            </w:div>
            <w:div w:id="1863543227">
              <w:marLeft w:val="0"/>
              <w:marRight w:val="0"/>
              <w:marTop w:val="0"/>
              <w:marBottom w:val="0"/>
              <w:divBdr>
                <w:top w:val="none" w:sz="0" w:space="0" w:color="auto"/>
                <w:left w:val="none" w:sz="0" w:space="0" w:color="auto"/>
                <w:bottom w:val="none" w:sz="0" w:space="0" w:color="auto"/>
                <w:right w:val="none" w:sz="0" w:space="0" w:color="auto"/>
              </w:divBdr>
            </w:div>
            <w:div w:id="1347171467">
              <w:marLeft w:val="0"/>
              <w:marRight w:val="0"/>
              <w:marTop w:val="0"/>
              <w:marBottom w:val="0"/>
              <w:divBdr>
                <w:top w:val="none" w:sz="0" w:space="0" w:color="auto"/>
                <w:left w:val="none" w:sz="0" w:space="0" w:color="auto"/>
                <w:bottom w:val="none" w:sz="0" w:space="0" w:color="auto"/>
                <w:right w:val="none" w:sz="0" w:space="0" w:color="auto"/>
              </w:divBdr>
            </w:div>
            <w:div w:id="1260605181">
              <w:marLeft w:val="0"/>
              <w:marRight w:val="0"/>
              <w:marTop w:val="0"/>
              <w:marBottom w:val="0"/>
              <w:divBdr>
                <w:top w:val="none" w:sz="0" w:space="0" w:color="auto"/>
                <w:left w:val="none" w:sz="0" w:space="0" w:color="auto"/>
                <w:bottom w:val="none" w:sz="0" w:space="0" w:color="auto"/>
                <w:right w:val="none" w:sz="0" w:space="0" w:color="auto"/>
              </w:divBdr>
            </w:div>
            <w:div w:id="1842157233">
              <w:marLeft w:val="0"/>
              <w:marRight w:val="0"/>
              <w:marTop w:val="0"/>
              <w:marBottom w:val="0"/>
              <w:divBdr>
                <w:top w:val="none" w:sz="0" w:space="0" w:color="auto"/>
                <w:left w:val="none" w:sz="0" w:space="0" w:color="auto"/>
                <w:bottom w:val="none" w:sz="0" w:space="0" w:color="auto"/>
                <w:right w:val="none" w:sz="0" w:space="0" w:color="auto"/>
              </w:divBdr>
            </w:div>
            <w:div w:id="37125418">
              <w:marLeft w:val="0"/>
              <w:marRight w:val="0"/>
              <w:marTop w:val="0"/>
              <w:marBottom w:val="0"/>
              <w:divBdr>
                <w:top w:val="none" w:sz="0" w:space="0" w:color="auto"/>
                <w:left w:val="none" w:sz="0" w:space="0" w:color="auto"/>
                <w:bottom w:val="none" w:sz="0" w:space="0" w:color="auto"/>
                <w:right w:val="none" w:sz="0" w:space="0" w:color="auto"/>
              </w:divBdr>
            </w:div>
            <w:div w:id="1520853278">
              <w:marLeft w:val="0"/>
              <w:marRight w:val="0"/>
              <w:marTop w:val="0"/>
              <w:marBottom w:val="0"/>
              <w:divBdr>
                <w:top w:val="none" w:sz="0" w:space="0" w:color="auto"/>
                <w:left w:val="none" w:sz="0" w:space="0" w:color="auto"/>
                <w:bottom w:val="none" w:sz="0" w:space="0" w:color="auto"/>
                <w:right w:val="none" w:sz="0" w:space="0" w:color="auto"/>
              </w:divBdr>
            </w:div>
            <w:div w:id="1497065458">
              <w:marLeft w:val="0"/>
              <w:marRight w:val="0"/>
              <w:marTop w:val="0"/>
              <w:marBottom w:val="0"/>
              <w:divBdr>
                <w:top w:val="none" w:sz="0" w:space="0" w:color="auto"/>
                <w:left w:val="none" w:sz="0" w:space="0" w:color="auto"/>
                <w:bottom w:val="none" w:sz="0" w:space="0" w:color="auto"/>
                <w:right w:val="none" w:sz="0" w:space="0" w:color="auto"/>
              </w:divBdr>
            </w:div>
            <w:div w:id="1431468259">
              <w:marLeft w:val="0"/>
              <w:marRight w:val="0"/>
              <w:marTop w:val="0"/>
              <w:marBottom w:val="0"/>
              <w:divBdr>
                <w:top w:val="none" w:sz="0" w:space="0" w:color="auto"/>
                <w:left w:val="none" w:sz="0" w:space="0" w:color="auto"/>
                <w:bottom w:val="none" w:sz="0" w:space="0" w:color="auto"/>
                <w:right w:val="none" w:sz="0" w:space="0" w:color="auto"/>
              </w:divBdr>
            </w:div>
            <w:div w:id="1396510419">
              <w:marLeft w:val="0"/>
              <w:marRight w:val="0"/>
              <w:marTop w:val="0"/>
              <w:marBottom w:val="0"/>
              <w:divBdr>
                <w:top w:val="none" w:sz="0" w:space="0" w:color="auto"/>
                <w:left w:val="none" w:sz="0" w:space="0" w:color="auto"/>
                <w:bottom w:val="none" w:sz="0" w:space="0" w:color="auto"/>
                <w:right w:val="none" w:sz="0" w:space="0" w:color="auto"/>
              </w:divBdr>
            </w:div>
            <w:div w:id="13516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897">
      <w:bodyDiv w:val="1"/>
      <w:marLeft w:val="0"/>
      <w:marRight w:val="0"/>
      <w:marTop w:val="0"/>
      <w:marBottom w:val="0"/>
      <w:divBdr>
        <w:top w:val="none" w:sz="0" w:space="0" w:color="auto"/>
        <w:left w:val="none" w:sz="0" w:space="0" w:color="auto"/>
        <w:bottom w:val="none" w:sz="0" w:space="0" w:color="auto"/>
        <w:right w:val="none" w:sz="0" w:space="0" w:color="auto"/>
      </w:divBdr>
    </w:div>
    <w:div w:id="1403596891">
      <w:bodyDiv w:val="1"/>
      <w:marLeft w:val="0"/>
      <w:marRight w:val="0"/>
      <w:marTop w:val="0"/>
      <w:marBottom w:val="0"/>
      <w:divBdr>
        <w:top w:val="none" w:sz="0" w:space="0" w:color="auto"/>
        <w:left w:val="none" w:sz="0" w:space="0" w:color="auto"/>
        <w:bottom w:val="none" w:sz="0" w:space="0" w:color="auto"/>
        <w:right w:val="none" w:sz="0" w:space="0" w:color="auto"/>
      </w:divBdr>
      <w:divsChild>
        <w:div w:id="15618095">
          <w:marLeft w:val="0"/>
          <w:marRight w:val="0"/>
          <w:marTop w:val="0"/>
          <w:marBottom w:val="0"/>
          <w:divBdr>
            <w:top w:val="none" w:sz="0" w:space="0" w:color="auto"/>
            <w:left w:val="none" w:sz="0" w:space="0" w:color="auto"/>
            <w:bottom w:val="none" w:sz="0" w:space="0" w:color="auto"/>
            <w:right w:val="none" w:sz="0" w:space="0" w:color="auto"/>
          </w:divBdr>
        </w:div>
        <w:div w:id="730273895">
          <w:marLeft w:val="0"/>
          <w:marRight w:val="0"/>
          <w:marTop w:val="0"/>
          <w:marBottom w:val="0"/>
          <w:divBdr>
            <w:top w:val="none" w:sz="0" w:space="0" w:color="auto"/>
            <w:left w:val="none" w:sz="0" w:space="0" w:color="auto"/>
            <w:bottom w:val="none" w:sz="0" w:space="0" w:color="auto"/>
            <w:right w:val="none" w:sz="0" w:space="0" w:color="auto"/>
          </w:divBdr>
        </w:div>
        <w:div w:id="1096751021">
          <w:marLeft w:val="0"/>
          <w:marRight w:val="0"/>
          <w:marTop w:val="0"/>
          <w:marBottom w:val="0"/>
          <w:divBdr>
            <w:top w:val="none" w:sz="0" w:space="0" w:color="auto"/>
            <w:left w:val="none" w:sz="0" w:space="0" w:color="auto"/>
            <w:bottom w:val="none" w:sz="0" w:space="0" w:color="auto"/>
            <w:right w:val="none" w:sz="0" w:space="0" w:color="auto"/>
          </w:divBdr>
          <w:divsChild>
            <w:div w:id="838039329">
              <w:marLeft w:val="0"/>
              <w:marRight w:val="0"/>
              <w:marTop w:val="0"/>
              <w:marBottom w:val="0"/>
              <w:divBdr>
                <w:top w:val="none" w:sz="0" w:space="0" w:color="auto"/>
                <w:left w:val="none" w:sz="0" w:space="0" w:color="auto"/>
                <w:bottom w:val="none" w:sz="0" w:space="0" w:color="auto"/>
                <w:right w:val="none" w:sz="0" w:space="0" w:color="auto"/>
              </w:divBdr>
            </w:div>
            <w:div w:id="1331716868">
              <w:marLeft w:val="0"/>
              <w:marRight w:val="0"/>
              <w:marTop w:val="0"/>
              <w:marBottom w:val="0"/>
              <w:divBdr>
                <w:top w:val="none" w:sz="0" w:space="0" w:color="auto"/>
                <w:left w:val="none" w:sz="0" w:space="0" w:color="auto"/>
                <w:bottom w:val="none" w:sz="0" w:space="0" w:color="auto"/>
                <w:right w:val="none" w:sz="0" w:space="0" w:color="auto"/>
              </w:divBdr>
            </w:div>
            <w:div w:id="1174108302">
              <w:marLeft w:val="0"/>
              <w:marRight w:val="0"/>
              <w:marTop w:val="0"/>
              <w:marBottom w:val="0"/>
              <w:divBdr>
                <w:top w:val="none" w:sz="0" w:space="0" w:color="auto"/>
                <w:left w:val="none" w:sz="0" w:space="0" w:color="auto"/>
                <w:bottom w:val="none" w:sz="0" w:space="0" w:color="auto"/>
                <w:right w:val="none" w:sz="0" w:space="0" w:color="auto"/>
              </w:divBdr>
            </w:div>
            <w:div w:id="272059619">
              <w:marLeft w:val="0"/>
              <w:marRight w:val="0"/>
              <w:marTop w:val="0"/>
              <w:marBottom w:val="0"/>
              <w:divBdr>
                <w:top w:val="none" w:sz="0" w:space="0" w:color="auto"/>
                <w:left w:val="none" w:sz="0" w:space="0" w:color="auto"/>
                <w:bottom w:val="none" w:sz="0" w:space="0" w:color="auto"/>
                <w:right w:val="none" w:sz="0" w:space="0" w:color="auto"/>
              </w:divBdr>
            </w:div>
            <w:div w:id="1144659761">
              <w:marLeft w:val="0"/>
              <w:marRight w:val="0"/>
              <w:marTop w:val="0"/>
              <w:marBottom w:val="0"/>
              <w:divBdr>
                <w:top w:val="none" w:sz="0" w:space="0" w:color="auto"/>
                <w:left w:val="none" w:sz="0" w:space="0" w:color="auto"/>
                <w:bottom w:val="none" w:sz="0" w:space="0" w:color="auto"/>
                <w:right w:val="none" w:sz="0" w:space="0" w:color="auto"/>
              </w:divBdr>
            </w:div>
            <w:div w:id="498347038">
              <w:marLeft w:val="0"/>
              <w:marRight w:val="0"/>
              <w:marTop w:val="0"/>
              <w:marBottom w:val="0"/>
              <w:divBdr>
                <w:top w:val="none" w:sz="0" w:space="0" w:color="auto"/>
                <w:left w:val="none" w:sz="0" w:space="0" w:color="auto"/>
                <w:bottom w:val="none" w:sz="0" w:space="0" w:color="auto"/>
                <w:right w:val="none" w:sz="0" w:space="0" w:color="auto"/>
              </w:divBdr>
            </w:div>
            <w:div w:id="323624803">
              <w:marLeft w:val="0"/>
              <w:marRight w:val="0"/>
              <w:marTop w:val="0"/>
              <w:marBottom w:val="0"/>
              <w:divBdr>
                <w:top w:val="none" w:sz="0" w:space="0" w:color="auto"/>
                <w:left w:val="none" w:sz="0" w:space="0" w:color="auto"/>
                <w:bottom w:val="none" w:sz="0" w:space="0" w:color="auto"/>
                <w:right w:val="none" w:sz="0" w:space="0" w:color="auto"/>
              </w:divBdr>
            </w:div>
            <w:div w:id="454569598">
              <w:marLeft w:val="0"/>
              <w:marRight w:val="0"/>
              <w:marTop w:val="0"/>
              <w:marBottom w:val="0"/>
              <w:divBdr>
                <w:top w:val="none" w:sz="0" w:space="0" w:color="auto"/>
                <w:left w:val="none" w:sz="0" w:space="0" w:color="auto"/>
                <w:bottom w:val="none" w:sz="0" w:space="0" w:color="auto"/>
                <w:right w:val="none" w:sz="0" w:space="0" w:color="auto"/>
              </w:divBdr>
            </w:div>
            <w:div w:id="769550701">
              <w:marLeft w:val="0"/>
              <w:marRight w:val="0"/>
              <w:marTop w:val="0"/>
              <w:marBottom w:val="0"/>
              <w:divBdr>
                <w:top w:val="none" w:sz="0" w:space="0" w:color="auto"/>
                <w:left w:val="none" w:sz="0" w:space="0" w:color="auto"/>
                <w:bottom w:val="none" w:sz="0" w:space="0" w:color="auto"/>
                <w:right w:val="none" w:sz="0" w:space="0" w:color="auto"/>
              </w:divBdr>
            </w:div>
            <w:div w:id="256141402">
              <w:marLeft w:val="0"/>
              <w:marRight w:val="0"/>
              <w:marTop w:val="0"/>
              <w:marBottom w:val="0"/>
              <w:divBdr>
                <w:top w:val="none" w:sz="0" w:space="0" w:color="auto"/>
                <w:left w:val="none" w:sz="0" w:space="0" w:color="auto"/>
                <w:bottom w:val="none" w:sz="0" w:space="0" w:color="auto"/>
                <w:right w:val="none" w:sz="0" w:space="0" w:color="auto"/>
              </w:divBdr>
            </w:div>
            <w:div w:id="1537238116">
              <w:marLeft w:val="0"/>
              <w:marRight w:val="0"/>
              <w:marTop w:val="0"/>
              <w:marBottom w:val="0"/>
              <w:divBdr>
                <w:top w:val="none" w:sz="0" w:space="0" w:color="auto"/>
                <w:left w:val="none" w:sz="0" w:space="0" w:color="auto"/>
                <w:bottom w:val="none" w:sz="0" w:space="0" w:color="auto"/>
                <w:right w:val="none" w:sz="0" w:space="0" w:color="auto"/>
              </w:divBdr>
            </w:div>
            <w:div w:id="1977680863">
              <w:marLeft w:val="0"/>
              <w:marRight w:val="0"/>
              <w:marTop w:val="0"/>
              <w:marBottom w:val="0"/>
              <w:divBdr>
                <w:top w:val="none" w:sz="0" w:space="0" w:color="auto"/>
                <w:left w:val="none" w:sz="0" w:space="0" w:color="auto"/>
                <w:bottom w:val="none" w:sz="0" w:space="0" w:color="auto"/>
                <w:right w:val="none" w:sz="0" w:space="0" w:color="auto"/>
              </w:divBdr>
            </w:div>
            <w:div w:id="68776692">
              <w:marLeft w:val="0"/>
              <w:marRight w:val="0"/>
              <w:marTop w:val="0"/>
              <w:marBottom w:val="0"/>
              <w:divBdr>
                <w:top w:val="none" w:sz="0" w:space="0" w:color="auto"/>
                <w:left w:val="none" w:sz="0" w:space="0" w:color="auto"/>
                <w:bottom w:val="none" w:sz="0" w:space="0" w:color="auto"/>
                <w:right w:val="none" w:sz="0" w:space="0" w:color="auto"/>
              </w:divBdr>
            </w:div>
            <w:div w:id="873807150">
              <w:marLeft w:val="0"/>
              <w:marRight w:val="0"/>
              <w:marTop w:val="0"/>
              <w:marBottom w:val="0"/>
              <w:divBdr>
                <w:top w:val="none" w:sz="0" w:space="0" w:color="auto"/>
                <w:left w:val="none" w:sz="0" w:space="0" w:color="auto"/>
                <w:bottom w:val="none" w:sz="0" w:space="0" w:color="auto"/>
                <w:right w:val="none" w:sz="0" w:space="0" w:color="auto"/>
              </w:divBdr>
            </w:div>
            <w:div w:id="695035039">
              <w:marLeft w:val="0"/>
              <w:marRight w:val="0"/>
              <w:marTop w:val="0"/>
              <w:marBottom w:val="0"/>
              <w:divBdr>
                <w:top w:val="none" w:sz="0" w:space="0" w:color="auto"/>
                <w:left w:val="none" w:sz="0" w:space="0" w:color="auto"/>
                <w:bottom w:val="none" w:sz="0" w:space="0" w:color="auto"/>
                <w:right w:val="none" w:sz="0" w:space="0" w:color="auto"/>
              </w:divBdr>
            </w:div>
            <w:div w:id="1375081245">
              <w:marLeft w:val="0"/>
              <w:marRight w:val="0"/>
              <w:marTop w:val="0"/>
              <w:marBottom w:val="0"/>
              <w:divBdr>
                <w:top w:val="none" w:sz="0" w:space="0" w:color="auto"/>
                <w:left w:val="none" w:sz="0" w:space="0" w:color="auto"/>
                <w:bottom w:val="none" w:sz="0" w:space="0" w:color="auto"/>
                <w:right w:val="none" w:sz="0" w:space="0" w:color="auto"/>
              </w:divBdr>
            </w:div>
            <w:div w:id="1373114187">
              <w:marLeft w:val="0"/>
              <w:marRight w:val="0"/>
              <w:marTop w:val="0"/>
              <w:marBottom w:val="0"/>
              <w:divBdr>
                <w:top w:val="none" w:sz="0" w:space="0" w:color="auto"/>
                <w:left w:val="none" w:sz="0" w:space="0" w:color="auto"/>
                <w:bottom w:val="none" w:sz="0" w:space="0" w:color="auto"/>
                <w:right w:val="none" w:sz="0" w:space="0" w:color="auto"/>
              </w:divBdr>
            </w:div>
            <w:div w:id="1218784920">
              <w:marLeft w:val="0"/>
              <w:marRight w:val="0"/>
              <w:marTop w:val="0"/>
              <w:marBottom w:val="0"/>
              <w:divBdr>
                <w:top w:val="none" w:sz="0" w:space="0" w:color="auto"/>
                <w:left w:val="none" w:sz="0" w:space="0" w:color="auto"/>
                <w:bottom w:val="none" w:sz="0" w:space="0" w:color="auto"/>
                <w:right w:val="none" w:sz="0" w:space="0" w:color="auto"/>
              </w:divBdr>
            </w:div>
            <w:div w:id="57822139">
              <w:marLeft w:val="0"/>
              <w:marRight w:val="0"/>
              <w:marTop w:val="0"/>
              <w:marBottom w:val="0"/>
              <w:divBdr>
                <w:top w:val="none" w:sz="0" w:space="0" w:color="auto"/>
                <w:left w:val="none" w:sz="0" w:space="0" w:color="auto"/>
                <w:bottom w:val="none" w:sz="0" w:space="0" w:color="auto"/>
                <w:right w:val="none" w:sz="0" w:space="0" w:color="auto"/>
              </w:divBdr>
            </w:div>
            <w:div w:id="1981575536">
              <w:marLeft w:val="0"/>
              <w:marRight w:val="0"/>
              <w:marTop w:val="0"/>
              <w:marBottom w:val="0"/>
              <w:divBdr>
                <w:top w:val="none" w:sz="0" w:space="0" w:color="auto"/>
                <w:left w:val="none" w:sz="0" w:space="0" w:color="auto"/>
                <w:bottom w:val="none" w:sz="0" w:space="0" w:color="auto"/>
                <w:right w:val="none" w:sz="0" w:space="0" w:color="auto"/>
              </w:divBdr>
            </w:div>
            <w:div w:id="1917978978">
              <w:marLeft w:val="0"/>
              <w:marRight w:val="0"/>
              <w:marTop w:val="0"/>
              <w:marBottom w:val="0"/>
              <w:divBdr>
                <w:top w:val="none" w:sz="0" w:space="0" w:color="auto"/>
                <w:left w:val="none" w:sz="0" w:space="0" w:color="auto"/>
                <w:bottom w:val="none" w:sz="0" w:space="0" w:color="auto"/>
                <w:right w:val="none" w:sz="0" w:space="0" w:color="auto"/>
              </w:divBdr>
            </w:div>
            <w:div w:id="1895965882">
              <w:marLeft w:val="0"/>
              <w:marRight w:val="0"/>
              <w:marTop w:val="0"/>
              <w:marBottom w:val="0"/>
              <w:divBdr>
                <w:top w:val="none" w:sz="0" w:space="0" w:color="auto"/>
                <w:left w:val="none" w:sz="0" w:space="0" w:color="auto"/>
                <w:bottom w:val="none" w:sz="0" w:space="0" w:color="auto"/>
                <w:right w:val="none" w:sz="0" w:space="0" w:color="auto"/>
              </w:divBdr>
            </w:div>
            <w:div w:id="3346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28309738">
      <w:bodyDiv w:val="1"/>
      <w:marLeft w:val="0"/>
      <w:marRight w:val="0"/>
      <w:marTop w:val="0"/>
      <w:marBottom w:val="0"/>
      <w:divBdr>
        <w:top w:val="none" w:sz="0" w:space="0" w:color="auto"/>
        <w:left w:val="none" w:sz="0" w:space="0" w:color="auto"/>
        <w:bottom w:val="none" w:sz="0" w:space="0" w:color="auto"/>
        <w:right w:val="none" w:sz="0" w:space="0" w:color="auto"/>
      </w:divBdr>
    </w:div>
    <w:div w:id="1433624750">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474904889">
      <w:bodyDiv w:val="1"/>
      <w:marLeft w:val="0"/>
      <w:marRight w:val="0"/>
      <w:marTop w:val="0"/>
      <w:marBottom w:val="0"/>
      <w:divBdr>
        <w:top w:val="none" w:sz="0" w:space="0" w:color="auto"/>
        <w:left w:val="none" w:sz="0" w:space="0" w:color="auto"/>
        <w:bottom w:val="none" w:sz="0" w:space="0" w:color="auto"/>
        <w:right w:val="none" w:sz="0" w:space="0" w:color="auto"/>
      </w:divBdr>
    </w:div>
    <w:div w:id="1479493765">
      <w:bodyDiv w:val="1"/>
      <w:marLeft w:val="0"/>
      <w:marRight w:val="0"/>
      <w:marTop w:val="0"/>
      <w:marBottom w:val="0"/>
      <w:divBdr>
        <w:top w:val="none" w:sz="0" w:space="0" w:color="auto"/>
        <w:left w:val="none" w:sz="0" w:space="0" w:color="auto"/>
        <w:bottom w:val="none" w:sz="0" w:space="0" w:color="auto"/>
        <w:right w:val="none" w:sz="0" w:space="0" w:color="auto"/>
      </w:divBdr>
    </w:div>
    <w:div w:id="1505897773">
      <w:bodyDiv w:val="1"/>
      <w:marLeft w:val="0"/>
      <w:marRight w:val="0"/>
      <w:marTop w:val="0"/>
      <w:marBottom w:val="0"/>
      <w:divBdr>
        <w:top w:val="none" w:sz="0" w:space="0" w:color="auto"/>
        <w:left w:val="none" w:sz="0" w:space="0" w:color="auto"/>
        <w:bottom w:val="none" w:sz="0" w:space="0" w:color="auto"/>
        <w:right w:val="none" w:sz="0" w:space="0" w:color="auto"/>
      </w:divBdr>
      <w:divsChild>
        <w:div w:id="1442338589">
          <w:marLeft w:val="0"/>
          <w:marRight w:val="0"/>
          <w:marTop w:val="0"/>
          <w:marBottom w:val="0"/>
          <w:divBdr>
            <w:top w:val="none" w:sz="0" w:space="0" w:color="auto"/>
            <w:left w:val="none" w:sz="0" w:space="0" w:color="auto"/>
            <w:bottom w:val="none" w:sz="0" w:space="0" w:color="auto"/>
            <w:right w:val="none" w:sz="0" w:space="0" w:color="auto"/>
          </w:divBdr>
        </w:div>
        <w:div w:id="47609764">
          <w:marLeft w:val="0"/>
          <w:marRight w:val="0"/>
          <w:marTop w:val="0"/>
          <w:marBottom w:val="0"/>
          <w:divBdr>
            <w:top w:val="none" w:sz="0" w:space="0" w:color="auto"/>
            <w:left w:val="none" w:sz="0" w:space="0" w:color="auto"/>
            <w:bottom w:val="none" w:sz="0" w:space="0" w:color="auto"/>
            <w:right w:val="none" w:sz="0" w:space="0" w:color="auto"/>
          </w:divBdr>
        </w:div>
        <w:div w:id="1171065585">
          <w:marLeft w:val="0"/>
          <w:marRight w:val="0"/>
          <w:marTop w:val="0"/>
          <w:marBottom w:val="0"/>
          <w:divBdr>
            <w:top w:val="none" w:sz="0" w:space="0" w:color="auto"/>
            <w:left w:val="none" w:sz="0" w:space="0" w:color="auto"/>
            <w:bottom w:val="none" w:sz="0" w:space="0" w:color="auto"/>
            <w:right w:val="none" w:sz="0" w:space="0" w:color="auto"/>
          </w:divBdr>
          <w:divsChild>
            <w:div w:id="18678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235">
      <w:bodyDiv w:val="1"/>
      <w:marLeft w:val="0"/>
      <w:marRight w:val="0"/>
      <w:marTop w:val="0"/>
      <w:marBottom w:val="0"/>
      <w:divBdr>
        <w:top w:val="none" w:sz="0" w:space="0" w:color="auto"/>
        <w:left w:val="none" w:sz="0" w:space="0" w:color="auto"/>
        <w:bottom w:val="none" w:sz="0" w:space="0" w:color="auto"/>
        <w:right w:val="none" w:sz="0" w:space="0" w:color="auto"/>
      </w:divBdr>
    </w:div>
    <w:div w:id="1558970746">
      <w:bodyDiv w:val="1"/>
      <w:marLeft w:val="0"/>
      <w:marRight w:val="0"/>
      <w:marTop w:val="0"/>
      <w:marBottom w:val="0"/>
      <w:divBdr>
        <w:top w:val="none" w:sz="0" w:space="0" w:color="auto"/>
        <w:left w:val="none" w:sz="0" w:space="0" w:color="auto"/>
        <w:bottom w:val="none" w:sz="0" w:space="0" w:color="auto"/>
        <w:right w:val="none" w:sz="0" w:space="0" w:color="auto"/>
      </w:divBdr>
      <w:divsChild>
        <w:div w:id="43217016">
          <w:marLeft w:val="0"/>
          <w:marRight w:val="0"/>
          <w:marTop w:val="0"/>
          <w:marBottom w:val="0"/>
          <w:divBdr>
            <w:top w:val="none" w:sz="0" w:space="0" w:color="auto"/>
            <w:left w:val="none" w:sz="0" w:space="0" w:color="auto"/>
            <w:bottom w:val="none" w:sz="0" w:space="0" w:color="auto"/>
            <w:right w:val="none" w:sz="0" w:space="0" w:color="auto"/>
          </w:divBdr>
        </w:div>
        <w:div w:id="1724211250">
          <w:marLeft w:val="0"/>
          <w:marRight w:val="0"/>
          <w:marTop w:val="0"/>
          <w:marBottom w:val="0"/>
          <w:divBdr>
            <w:top w:val="none" w:sz="0" w:space="0" w:color="auto"/>
            <w:left w:val="none" w:sz="0" w:space="0" w:color="auto"/>
            <w:bottom w:val="none" w:sz="0" w:space="0" w:color="auto"/>
            <w:right w:val="none" w:sz="0" w:space="0" w:color="auto"/>
          </w:divBdr>
        </w:div>
        <w:div w:id="263340886">
          <w:marLeft w:val="0"/>
          <w:marRight w:val="0"/>
          <w:marTop w:val="0"/>
          <w:marBottom w:val="0"/>
          <w:divBdr>
            <w:top w:val="none" w:sz="0" w:space="0" w:color="auto"/>
            <w:left w:val="none" w:sz="0" w:space="0" w:color="auto"/>
            <w:bottom w:val="none" w:sz="0" w:space="0" w:color="auto"/>
            <w:right w:val="none" w:sz="0" w:space="0" w:color="auto"/>
          </w:divBdr>
          <w:divsChild>
            <w:div w:id="2121563760">
              <w:marLeft w:val="0"/>
              <w:marRight w:val="0"/>
              <w:marTop w:val="0"/>
              <w:marBottom w:val="0"/>
              <w:divBdr>
                <w:top w:val="none" w:sz="0" w:space="0" w:color="auto"/>
                <w:left w:val="none" w:sz="0" w:space="0" w:color="auto"/>
                <w:bottom w:val="none" w:sz="0" w:space="0" w:color="auto"/>
                <w:right w:val="none" w:sz="0" w:space="0" w:color="auto"/>
              </w:divBdr>
            </w:div>
            <w:div w:id="1030106134">
              <w:marLeft w:val="0"/>
              <w:marRight w:val="0"/>
              <w:marTop w:val="0"/>
              <w:marBottom w:val="0"/>
              <w:divBdr>
                <w:top w:val="none" w:sz="0" w:space="0" w:color="auto"/>
                <w:left w:val="none" w:sz="0" w:space="0" w:color="auto"/>
                <w:bottom w:val="none" w:sz="0" w:space="0" w:color="auto"/>
                <w:right w:val="none" w:sz="0" w:space="0" w:color="auto"/>
              </w:divBdr>
            </w:div>
            <w:div w:id="16840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5250">
      <w:bodyDiv w:val="1"/>
      <w:marLeft w:val="0"/>
      <w:marRight w:val="0"/>
      <w:marTop w:val="0"/>
      <w:marBottom w:val="0"/>
      <w:divBdr>
        <w:top w:val="none" w:sz="0" w:space="0" w:color="auto"/>
        <w:left w:val="none" w:sz="0" w:space="0" w:color="auto"/>
        <w:bottom w:val="none" w:sz="0" w:space="0" w:color="auto"/>
        <w:right w:val="none" w:sz="0" w:space="0" w:color="auto"/>
      </w:divBdr>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37952148">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2047296378">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549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688213680">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56897711">
      <w:bodyDiv w:val="1"/>
      <w:marLeft w:val="0"/>
      <w:marRight w:val="0"/>
      <w:marTop w:val="0"/>
      <w:marBottom w:val="0"/>
      <w:divBdr>
        <w:top w:val="none" w:sz="0" w:space="0" w:color="auto"/>
        <w:left w:val="none" w:sz="0" w:space="0" w:color="auto"/>
        <w:bottom w:val="none" w:sz="0" w:space="0" w:color="auto"/>
        <w:right w:val="none" w:sz="0" w:space="0" w:color="auto"/>
      </w:divBdr>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6320">
      <w:bodyDiv w:val="1"/>
      <w:marLeft w:val="0"/>
      <w:marRight w:val="0"/>
      <w:marTop w:val="0"/>
      <w:marBottom w:val="0"/>
      <w:divBdr>
        <w:top w:val="none" w:sz="0" w:space="0" w:color="auto"/>
        <w:left w:val="none" w:sz="0" w:space="0" w:color="auto"/>
        <w:bottom w:val="none" w:sz="0" w:space="0" w:color="auto"/>
        <w:right w:val="none" w:sz="0" w:space="0" w:color="auto"/>
      </w:divBdr>
    </w:div>
    <w:div w:id="1805388003">
      <w:bodyDiv w:val="1"/>
      <w:marLeft w:val="0"/>
      <w:marRight w:val="0"/>
      <w:marTop w:val="0"/>
      <w:marBottom w:val="0"/>
      <w:divBdr>
        <w:top w:val="none" w:sz="0" w:space="0" w:color="auto"/>
        <w:left w:val="none" w:sz="0" w:space="0" w:color="auto"/>
        <w:bottom w:val="none" w:sz="0" w:space="0" w:color="auto"/>
        <w:right w:val="none" w:sz="0" w:space="0" w:color="auto"/>
      </w:divBdr>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484">
      <w:bodyDiv w:val="1"/>
      <w:marLeft w:val="0"/>
      <w:marRight w:val="0"/>
      <w:marTop w:val="0"/>
      <w:marBottom w:val="0"/>
      <w:divBdr>
        <w:top w:val="none" w:sz="0" w:space="0" w:color="auto"/>
        <w:left w:val="none" w:sz="0" w:space="0" w:color="auto"/>
        <w:bottom w:val="none" w:sz="0" w:space="0" w:color="auto"/>
        <w:right w:val="none" w:sz="0" w:space="0" w:color="auto"/>
      </w:divBdr>
    </w:div>
    <w:div w:id="1844540869">
      <w:bodyDiv w:val="1"/>
      <w:marLeft w:val="0"/>
      <w:marRight w:val="0"/>
      <w:marTop w:val="0"/>
      <w:marBottom w:val="0"/>
      <w:divBdr>
        <w:top w:val="none" w:sz="0" w:space="0" w:color="auto"/>
        <w:left w:val="none" w:sz="0" w:space="0" w:color="auto"/>
        <w:bottom w:val="none" w:sz="0" w:space="0" w:color="auto"/>
        <w:right w:val="none" w:sz="0" w:space="0" w:color="auto"/>
      </w:divBdr>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1992131">
      <w:bodyDiv w:val="1"/>
      <w:marLeft w:val="0"/>
      <w:marRight w:val="0"/>
      <w:marTop w:val="0"/>
      <w:marBottom w:val="0"/>
      <w:divBdr>
        <w:top w:val="none" w:sz="0" w:space="0" w:color="auto"/>
        <w:left w:val="none" w:sz="0" w:space="0" w:color="auto"/>
        <w:bottom w:val="none" w:sz="0" w:space="0" w:color="auto"/>
        <w:right w:val="none" w:sz="0" w:space="0" w:color="auto"/>
      </w:divBdr>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9295">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895002436">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1996102911">
      <w:bodyDiv w:val="1"/>
      <w:marLeft w:val="0"/>
      <w:marRight w:val="0"/>
      <w:marTop w:val="0"/>
      <w:marBottom w:val="0"/>
      <w:divBdr>
        <w:top w:val="none" w:sz="0" w:space="0" w:color="auto"/>
        <w:left w:val="none" w:sz="0" w:space="0" w:color="auto"/>
        <w:bottom w:val="none" w:sz="0" w:space="0" w:color="auto"/>
        <w:right w:val="none" w:sz="0" w:space="0" w:color="auto"/>
      </w:divBdr>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17923912">
      <w:bodyDiv w:val="1"/>
      <w:marLeft w:val="0"/>
      <w:marRight w:val="0"/>
      <w:marTop w:val="0"/>
      <w:marBottom w:val="0"/>
      <w:divBdr>
        <w:top w:val="none" w:sz="0" w:space="0" w:color="auto"/>
        <w:left w:val="none" w:sz="0" w:space="0" w:color="auto"/>
        <w:bottom w:val="none" w:sz="0" w:space="0" w:color="auto"/>
        <w:right w:val="none" w:sz="0" w:space="0" w:color="auto"/>
      </w:divBdr>
      <w:divsChild>
        <w:div w:id="526675795">
          <w:marLeft w:val="0"/>
          <w:marRight w:val="0"/>
          <w:marTop w:val="0"/>
          <w:marBottom w:val="0"/>
          <w:divBdr>
            <w:top w:val="none" w:sz="0" w:space="0" w:color="auto"/>
            <w:left w:val="none" w:sz="0" w:space="0" w:color="auto"/>
            <w:bottom w:val="none" w:sz="0" w:space="0" w:color="auto"/>
            <w:right w:val="none" w:sz="0" w:space="0" w:color="auto"/>
          </w:divBdr>
        </w:div>
        <w:div w:id="1852911338">
          <w:marLeft w:val="0"/>
          <w:marRight w:val="0"/>
          <w:marTop w:val="0"/>
          <w:marBottom w:val="0"/>
          <w:divBdr>
            <w:top w:val="none" w:sz="0" w:space="0" w:color="auto"/>
            <w:left w:val="none" w:sz="0" w:space="0" w:color="auto"/>
            <w:bottom w:val="none" w:sz="0" w:space="0" w:color="auto"/>
            <w:right w:val="none" w:sz="0" w:space="0" w:color="auto"/>
          </w:divBdr>
        </w:div>
        <w:div w:id="1517117980">
          <w:marLeft w:val="0"/>
          <w:marRight w:val="0"/>
          <w:marTop w:val="0"/>
          <w:marBottom w:val="0"/>
          <w:divBdr>
            <w:top w:val="none" w:sz="0" w:space="0" w:color="auto"/>
            <w:left w:val="none" w:sz="0" w:space="0" w:color="auto"/>
            <w:bottom w:val="none" w:sz="0" w:space="0" w:color="auto"/>
            <w:right w:val="none" w:sz="0" w:space="0" w:color="auto"/>
          </w:divBdr>
          <w:divsChild>
            <w:div w:id="1512839772">
              <w:marLeft w:val="0"/>
              <w:marRight w:val="0"/>
              <w:marTop w:val="0"/>
              <w:marBottom w:val="0"/>
              <w:divBdr>
                <w:top w:val="none" w:sz="0" w:space="0" w:color="auto"/>
                <w:left w:val="none" w:sz="0" w:space="0" w:color="auto"/>
                <w:bottom w:val="none" w:sz="0" w:space="0" w:color="auto"/>
                <w:right w:val="none" w:sz="0" w:space="0" w:color="auto"/>
              </w:divBdr>
            </w:div>
            <w:div w:id="9670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076392960">
      <w:bodyDiv w:val="1"/>
      <w:marLeft w:val="0"/>
      <w:marRight w:val="0"/>
      <w:marTop w:val="0"/>
      <w:marBottom w:val="0"/>
      <w:divBdr>
        <w:top w:val="none" w:sz="0" w:space="0" w:color="auto"/>
        <w:left w:val="none" w:sz="0" w:space="0" w:color="auto"/>
        <w:bottom w:val="none" w:sz="0" w:space="0" w:color="auto"/>
        <w:right w:val="none" w:sz="0" w:space="0" w:color="auto"/>
      </w:divBdr>
    </w:div>
    <w:div w:id="2108889032">
      <w:bodyDiv w:val="1"/>
      <w:marLeft w:val="0"/>
      <w:marRight w:val="0"/>
      <w:marTop w:val="0"/>
      <w:marBottom w:val="0"/>
      <w:divBdr>
        <w:top w:val="none" w:sz="0" w:space="0" w:color="auto"/>
        <w:left w:val="none" w:sz="0" w:space="0" w:color="auto"/>
        <w:bottom w:val="none" w:sz="0" w:space="0" w:color="auto"/>
        <w:right w:val="none" w:sz="0" w:space="0" w:color="auto"/>
      </w:divBdr>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WAC/default.aspx?cite=357-19-360" TargetMode="External"/><Relationship Id="rId117" Type="http://schemas.openxmlformats.org/officeDocument/2006/relationships/hyperlink" Target="https://apps.leg.wa.gov/wac/default.aspx?cite=357-31-325" TargetMode="External"/><Relationship Id="rId21" Type="http://schemas.openxmlformats.org/officeDocument/2006/relationships/hyperlink" Target="https://app.leg.wa.gov/wac/default.aspx?cite=357-58-226" TargetMode="External"/><Relationship Id="rId42" Type="http://schemas.openxmlformats.org/officeDocument/2006/relationships/hyperlink" Target="http://app.leg.wa.gov/WAC/default.aspx?cite=357-58-465" TargetMode="External"/><Relationship Id="rId47" Type="http://schemas.openxmlformats.org/officeDocument/2006/relationships/hyperlink" Target="http://app.leg.wa.gov/RCW/default.aspx?cite=38.52.430" TargetMode="External"/><Relationship Id="rId63" Type="http://schemas.openxmlformats.org/officeDocument/2006/relationships/hyperlink" Target="http://app.leg.wa.gov/RCW/default.aspx?cite=7.105.010" TargetMode="External"/><Relationship Id="rId68" Type="http://schemas.openxmlformats.org/officeDocument/2006/relationships/hyperlink" Target="http://app.leg.wa.gov/RCW/default.aspx?cite=7.105.010" TargetMode="External"/><Relationship Id="rId84" Type="http://schemas.openxmlformats.org/officeDocument/2006/relationships/hyperlink" Target="http://app.leg.wa.gov/RCW/default.aspx?cite=9A.42.100" TargetMode="External"/><Relationship Id="rId89" Type="http://schemas.openxmlformats.org/officeDocument/2006/relationships/hyperlink" Target="http://app.leg.wa.gov/RCW/default.aspx?cite=11.130.360" TargetMode="External"/><Relationship Id="rId112" Type="http://schemas.openxmlformats.org/officeDocument/2006/relationships/hyperlink" Target="http://app.leg.wa.gov/RCW/default.aspx?cite=49.58.100" TargetMode="External"/><Relationship Id="rId16" Type="http://schemas.openxmlformats.org/officeDocument/2006/relationships/hyperlink" Target="https://app.leg.wa.gov/wac/default.aspx?cite=357-19-388" TargetMode="External"/><Relationship Id="rId107" Type="http://schemas.openxmlformats.org/officeDocument/2006/relationships/hyperlink" Target="https://app.leg.wa.gov/wac/default.aspx?cite=357-28-090" TargetMode="External"/><Relationship Id="rId11" Type="http://schemas.openxmlformats.org/officeDocument/2006/relationships/hyperlink" Target="https://app.leg.wa.gov/WAC/default.aspx?cite=357-19-165" TargetMode="External"/><Relationship Id="rId32" Type="http://schemas.openxmlformats.org/officeDocument/2006/relationships/hyperlink" Target="http://app.leg.wa.gov/WAC/default.aspx?cite=357-19-360" TargetMode="External"/><Relationship Id="rId37" Type="http://schemas.openxmlformats.org/officeDocument/2006/relationships/hyperlink" Target="http://app.leg.wa.gov/RCW/default.aspx?cite=41.06" TargetMode="External"/><Relationship Id="rId53" Type="http://schemas.openxmlformats.org/officeDocument/2006/relationships/hyperlink" Target="http://app.leg.wa.gov/RCW/default.aspx?cite=82.14B.020" TargetMode="External"/><Relationship Id="rId58" Type="http://schemas.openxmlformats.org/officeDocument/2006/relationships/hyperlink" Target="https://lawfilesext.leg.wa.gov/biennium/2021-22/Pdf/Bills/Session%20Laws/House/1320-S2.SL.pdf?cite=2021%20c%20215%20&#167;%20121" TargetMode="External"/><Relationship Id="rId74" Type="http://schemas.openxmlformats.org/officeDocument/2006/relationships/hyperlink" Target="http://app.leg.wa.gov/RCW/default.aspx?cite=18.20" TargetMode="External"/><Relationship Id="rId79" Type="http://schemas.openxmlformats.org/officeDocument/2006/relationships/hyperlink" Target="http://app.leg.wa.gov/RCW/default.aspx?cite=70.41" TargetMode="External"/><Relationship Id="rId102" Type="http://schemas.openxmlformats.org/officeDocument/2006/relationships/hyperlink" Target="http://app.leg.wa.gov/RCW/default.aspx?cite=42.56"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app.leg.wa.gov/RCW/default.aspx?cite=71A.10.020" TargetMode="External"/><Relationship Id="rId95" Type="http://schemas.openxmlformats.org/officeDocument/2006/relationships/hyperlink" Target="https://lawfilesext.leg.wa.gov/biennium/2023-24/Pdf/Bills/Session%20Laws/House/1122-S2.SL.pdf" TargetMode="External"/><Relationship Id="rId22" Type="http://schemas.openxmlformats.org/officeDocument/2006/relationships/hyperlink" Target="https://app.leg.wa.gov/wac/default.aspx?cite=357-58-265" TargetMode="External"/><Relationship Id="rId27" Type="http://schemas.openxmlformats.org/officeDocument/2006/relationships/hyperlink" Target="http://app.leg.wa.gov/WAC/default.aspx?cite=357-19-360" TargetMode="External"/><Relationship Id="rId43" Type="http://schemas.openxmlformats.org/officeDocument/2006/relationships/hyperlink" Target="http://app.leg.wa.gov/WAC/default.aspx?cite=357-46-095" TargetMode="External"/><Relationship Id="rId48" Type="http://schemas.openxmlformats.org/officeDocument/2006/relationships/hyperlink" Target="http://app.leg.wa.gov/RCW/default.aspx?cite=43.06.010" TargetMode="External"/><Relationship Id="rId64" Type="http://schemas.openxmlformats.org/officeDocument/2006/relationships/hyperlink" Target="http://app.leg.wa.gov/RCW/default.aspx?cite=49.12.005" TargetMode="External"/><Relationship Id="rId69" Type="http://schemas.openxmlformats.org/officeDocument/2006/relationships/hyperlink" Target="http://app.leg.wa.gov/RCW/default.aspx?cite=71A.12" TargetMode="External"/><Relationship Id="rId113" Type="http://schemas.openxmlformats.org/officeDocument/2006/relationships/hyperlink" Target="http://app.leg.wa.gov/RCW/default.aspx?cite=49.58.110" TargetMode="External"/><Relationship Id="rId118" Type="http://schemas.openxmlformats.org/officeDocument/2006/relationships/hyperlink" Target="https://apps.leg.wa.gov/wac/default.aspx?cite=357-31-326" TargetMode="External"/><Relationship Id="rId80" Type="http://schemas.openxmlformats.org/officeDocument/2006/relationships/hyperlink" Target="http://app.leg.wa.gov/RCW/default.aspx?cite=71.12" TargetMode="External"/><Relationship Id="rId85" Type="http://schemas.openxmlformats.org/officeDocument/2006/relationships/hyperlink" Target="http://app.leg.wa.gov/RCW/default.aspx?cite=9A.46.110" TargetMode="External"/><Relationship Id="rId12" Type="http://schemas.openxmlformats.org/officeDocument/2006/relationships/hyperlink" Target="https://app.leg.wa.gov/wac/default.aspx?cite=357-19-353" TargetMode="External"/><Relationship Id="rId17" Type="http://schemas.openxmlformats.org/officeDocument/2006/relationships/hyperlink" Target="https://app.leg.wa.gov/wac/default.aspx?cite=357-19-395" TargetMode="External"/><Relationship Id="rId33" Type="http://schemas.openxmlformats.org/officeDocument/2006/relationships/hyperlink" Target="http://app.leg.wa.gov/WAC/default.aspx?cite=357-19-360" TargetMode="External"/><Relationship Id="rId38" Type="http://schemas.openxmlformats.org/officeDocument/2006/relationships/hyperlink" Target="http://app.leg.wa.gov/RCW/default.aspx?cite=41.06.022" TargetMode="External"/><Relationship Id="rId59" Type="http://schemas.openxmlformats.org/officeDocument/2006/relationships/hyperlink" Target="https://app.leg.wa.gov/RCW/default.aspx?cite=7.105.010" TargetMode="External"/><Relationship Id="rId103" Type="http://schemas.openxmlformats.org/officeDocument/2006/relationships/hyperlink" Target="http://app.leg.wa.gov/RCW/default.aspx?cite=43.06.010" TargetMode="External"/><Relationship Id="rId108" Type="http://schemas.openxmlformats.org/officeDocument/2006/relationships/hyperlink" Target="https://apps.leg.wa.gov/wac/default.aspx?cite=357-28-088" TargetMode="External"/><Relationship Id="rId124" Type="http://schemas.openxmlformats.org/officeDocument/2006/relationships/fontTable" Target="fontTable.xml"/><Relationship Id="rId54" Type="http://schemas.openxmlformats.org/officeDocument/2006/relationships/hyperlink" Target="http://app.leg.wa.gov/RCW/default.aspx?cite=47.68" TargetMode="External"/><Relationship Id="rId70" Type="http://schemas.openxmlformats.org/officeDocument/2006/relationships/hyperlink" Target="http://app.leg.wa.gov/RCW/default.aspx?cite=71A.12" TargetMode="External"/><Relationship Id="rId75" Type="http://schemas.openxmlformats.org/officeDocument/2006/relationships/hyperlink" Target="http://app.leg.wa.gov/RCW/default.aspx?cite=18.51" TargetMode="External"/><Relationship Id="rId91" Type="http://schemas.openxmlformats.org/officeDocument/2006/relationships/hyperlink" Target="http://app.leg.wa.gov/RCW/default.aspx?cite=70.127" TargetMode="External"/><Relationship Id="rId96" Type="http://schemas.openxmlformats.org/officeDocument/2006/relationships/hyperlink" Target="https://app.leg.wa.gov/rcw/default.aspx?cite=41.8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app.leg.wa.gov/wac/default.aspx?cite=357-58-270" TargetMode="External"/><Relationship Id="rId28" Type="http://schemas.openxmlformats.org/officeDocument/2006/relationships/hyperlink" Target="http://app.leg.wa.gov/WAC/default.aspx?cite=357-19-360" TargetMode="External"/><Relationship Id="rId49" Type="http://schemas.openxmlformats.org/officeDocument/2006/relationships/hyperlink" Target="http://app.leg.wa.gov/RCW/default.aspx?cite=38.52.430" TargetMode="External"/><Relationship Id="rId114" Type="http://schemas.openxmlformats.org/officeDocument/2006/relationships/hyperlink" Target="http://app.leg.wa.gov/WAC/default.aspx?cite=357-16-017" TargetMode="External"/><Relationship Id="rId119" Type="http://schemas.openxmlformats.org/officeDocument/2006/relationships/hyperlink" Target="https://apps.leg.wa.gov/wac/default.aspx?cite=357-31-326" TargetMode="External"/><Relationship Id="rId44" Type="http://schemas.openxmlformats.org/officeDocument/2006/relationships/hyperlink" Target="http://app.leg.wa.gov/RCW/default.aspx?cite=38.52.010" TargetMode="External"/><Relationship Id="rId60" Type="http://schemas.openxmlformats.org/officeDocument/2006/relationships/hyperlink" Target="https://app.leg.wa.gov/RCW/default.aspx?cite=49.76.020" TargetMode="External"/><Relationship Id="rId65" Type="http://schemas.openxmlformats.org/officeDocument/2006/relationships/hyperlink" Target="http://app.leg.wa.gov/RCW/default.aspx?cite=7.105.010" TargetMode="External"/><Relationship Id="rId81" Type="http://schemas.openxmlformats.org/officeDocument/2006/relationships/hyperlink" Target="http://app.leg.wa.gov/RCW/default.aspx?cite=72.23" TargetMode="External"/><Relationship Id="rId86" Type="http://schemas.openxmlformats.org/officeDocument/2006/relationships/hyperlink" Target="http://app.leg.wa.gov/RCW/default.aspx?cite=9A.90.120" TargetMode="External"/><Relationship Id="rId13" Type="http://schemas.openxmlformats.org/officeDocument/2006/relationships/hyperlink" Target="https://app.leg.wa.gov/wac/default.aspx?cite=357-19-360" TargetMode="External"/><Relationship Id="rId18" Type="http://schemas.openxmlformats.org/officeDocument/2006/relationships/hyperlink" Target="https://app.leg.wa.gov/WAC/default.aspx?cite=357-19-430" TargetMode="External"/><Relationship Id="rId39" Type="http://schemas.openxmlformats.org/officeDocument/2006/relationships/hyperlink" Target="http://app.leg.wa.gov/RCW/default.aspx?cite=41.06.022" TargetMode="External"/><Relationship Id="rId109" Type="http://schemas.openxmlformats.org/officeDocument/2006/relationships/hyperlink" Target="https://apps.leg.wa.gov/WAC/default.aspx?cite=357-58-141" TargetMode="External"/><Relationship Id="rId34" Type="http://schemas.openxmlformats.org/officeDocument/2006/relationships/hyperlink" Target="http://app.leg.wa.gov/WAC/default.aspx?cite=357-58" TargetMode="External"/><Relationship Id="rId50" Type="http://schemas.openxmlformats.org/officeDocument/2006/relationships/hyperlink" Target="http://app.leg.wa.gov/RCW/default.aspx?cite=38.52.430" TargetMode="External"/><Relationship Id="rId55" Type="http://schemas.openxmlformats.org/officeDocument/2006/relationships/hyperlink" Target="http://app.leg.wa.gov/RCW/default.aspx?cite=80.04.010" TargetMode="External"/><Relationship Id="rId76" Type="http://schemas.openxmlformats.org/officeDocument/2006/relationships/hyperlink" Target="http://app.leg.wa.gov/RCW/default.aspx?cite=70.128" TargetMode="External"/><Relationship Id="rId97" Type="http://schemas.openxmlformats.org/officeDocument/2006/relationships/hyperlink" Target="http://app.leg.wa.gov/RCW/default.aspx?cite=41.06.022" TargetMode="External"/><Relationship Id="rId104" Type="http://schemas.openxmlformats.org/officeDocument/2006/relationships/hyperlink" Target="https://app.leg.wa.gov/billsummary?BillNumber=1361&amp;Year=2023&amp;Initiative=false" TargetMode="External"/><Relationship Id="rId120" Type="http://schemas.openxmlformats.org/officeDocument/2006/relationships/hyperlink" Target="https://app.leg.wa.gov/wac/default.aspx?cite=357-28-265"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app.leg.wa.gov/RCW/default.aspx?cite=71A.12" TargetMode="External"/><Relationship Id="rId92" Type="http://schemas.openxmlformats.org/officeDocument/2006/relationships/hyperlink" Target="http://app.leg.wa.gov/RCW/default.aspx?cite=74.09" TargetMode="External"/><Relationship Id="rId2" Type="http://schemas.openxmlformats.org/officeDocument/2006/relationships/numbering" Target="numbering.xml"/><Relationship Id="rId29" Type="http://schemas.openxmlformats.org/officeDocument/2006/relationships/hyperlink" Target="http://app.leg.wa.gov/WAC/default.aspx?cite=357-19-360" TargetMode="External"/><Relationship Id="rId24" Type="http://schemas.openxmlformats.org/officeDocument/2006/relationships/hyperlink" Target="https://apps.leg.wa.gov/WAC/default.aspx?cite=357-58-275" TargetMode="External"/><Relationship Id="rId40" Type="http://schemas.openxmlformats.org/officeDocument/2006/relationships/hyperlink" Target="http://app.leg.wa.gov/RCW/default.aspx?cite=41.06.500" TargetMode="External"/><Relationship Id="rId45" Type="http://schemas.openxmlformats.org/officeDocument/2006/relationships/hyperlink" Target="http://app.leg.wa.gov/RCW/default.aspx?cite=82.14B.020" TargetMode="External"/><Relationship Id="rId66" Type="http://schemas.openxmlformats.org/officeDocument/2006/relationships/hyperlink" Target="http://app.leg.wa.gov/RCW/default.aspx?cite=70.125.030" TargetMode="External"/><Relationship Id="rId87" Type="http://schemas.openxmlformats.org/officeDocument/2006/relationships/hyperlink" Target="http://app.leg.wa.gov/RCW/default.aspx?cite=9A.36.080" TargetMode="External"/><Relationship Id="rId110" Type="http://schemas.openxmlformats.org/officeDocument/2006/relationships/hyperlink" Target="https://lawfilesext.leg.wa.gov/biennium/2021-22/Pdf/Bills/Session%20Laws/Senate/5761-S.SL.pdf" TargetMode="External"/><Relationship Id="rId115" Type="http://schemas.openxmlformats.org/officeDocument/2006/relationships/hyperlink" Target="http://app.leg.wa.gov/WAC/default.aspx?cite=357-16-215" TargetMode="External"/><Relationship Id="rId61" Type="http://schemas.openxmlformats.org/officeDocument/2006/relationships/hyperlink" Target="http://app.leg.wa.gov/RCW/default.aspx?cite=49.76.020" TargetMode="External"/><Relationship Id="rId82" Type="http://schemas.openxmlformats.org/officeDocument/2006/relationships/hyperlink" Target="http://app.leg.wa.gov/RCW/default.aspx?cite=11.92" TargetMode="External"/><Relationship Id="rId19" Type="http://schemas.openxmlformats.org/officeDocument/2006/relationships/hyperlink" Target="https://app.leg.wa.gov/wac/default.aspx?cite=357-58-065" TargetMode="External"/><Relationship Id="rId14" Type="http://schemas.openxmlformats.org/officeDocument/2006/relationships/hyperlink" Target="https://app.leg.wa.gov/WAC/default.aspx?cite=357-19-365" TargetMode="External"/><Relationship Id="rId30" Type="http://schemas.openxmlformats.org/officeDocument/2006/relationships/hyperlink" Target="http://app.leg.wa.gov/WAC/default.aspx?cite=357-19-360" TargetMode="External"/><Relationship Id="rId35" Type="http://schemas.openxmlformats.org/officeDocument/2006/relationships/hyperlink" Target="http://app.leg.wa.gov/WAC/default.aspx?cite=357-58-550" TargetMode="External"/><Relationship Id="rId56" Type="http://schemas.openxmlformats.org/officeDocument/2006/relationships/hyperlink" Target="http://app.leg.wa.gov/RCW/default.aspx?cite=38.52.010" TargetMode="External"/><Relationship Id="rId77" Type="http://schemas.openxmlformats.org/officeDocument/2006/relationships/hyperlink" Target="http://app.leg.wa.gov/RCW/default.aspx?cite=72.36" TargetMode="External"/><Relationship Id="rId100" Type="http://schemas.openxmlformats.org/officeDocument/2006/relationships/hyperlink" Target="https://gcc02.safelinks.protection.outlook.com/?url=http%3A%2F%2Fapp.leg.wa.gov%2FRCW%2Fdefault.aspx%3Fcite%3D49.17.062&amp;data=05%7C01%7Crules%40ofm.wa.gov%7Ce7d8d5fdd50746ca8eee08daa723a6e5%7C11d0e217264e400a8ba057dcc127d72d%7C0%7C0%7C638006069113162691%7CUnknown%7CTWFpbGZsb3d8eyJWIjoiMC4wLjAwMDAiLCJQIjoiV2luMzIiLCJBTiI6Ik1haWwiLCJXVCI6Mn0%3D%7C3000%7C%7C%7C&amp;sdata=xpgdx%2BN8ncWlz%2F7e%2FwJbBfo2%2FrwnDxof6O%2Bj1gdFxFs%3D&amp;reserved=0" TargetMode="External"/><Relationship Id="rId105" Type="http://schemas.openxmlformats.org/officeDocument/2006/relationships/hyperlink" Target="https://app.leg.wa.gov/wac/default.aspx?cite=357-31-160" TargetMode="External"/><Relationship Id="rId8" Type="http://schemas.openxmlformats.org/officeDocument/2006/relationships/hyperlink" Target="https://app.leg.wa.gov/WAC/default.aspx?cite=357-19-073" TargetMode="External"/><Relationship Id="rId51" Type="http://schemas.openxmlformats.org/officeDocument/2006/relationships/hyperlink" Target="http://app.leg.wa.gov/RCW/default.aspx?cite=38.52.430" TargetMode="External"/><Relationship Id="rId72" Type="http://schemas.openxmlformats.org/officeDocument/2006/relationships/hyperlink" Target="http://app.leg.wa.gov/RCW/default.aspx?cite=26.51.020" TargetMode="External"/><Relationship Id="rId93" Type="http://schemas.openxmlformats.org/officeDocument/2006/relationships/hyperlink" Target="http://app.leg.wa.gov/RCW/default.aspx?cite=74.39A" TargetMode="External"/><Relationship Id="rId98" Type="http://schemas.openxmlformats.org/officeDocument/2006/relationships/hyperlink" Target="http://app.leg.wa.gov/RCW/default.aspx?cite=41.06.022" TargetMode="External"/><Relationship Id="rId121" Type="http://schemas.openxmlformats.org/officeDocument/2006/relationships/hyperlink" Target="https://lni.wa.gov/agency/outreach/coronavirus-covid-19-vaccines-and-paid-sick-leave-common-questions" TargetMode="External"/><Relationship Id="rId3" Type="http://schemas.openxmlformats.org/officeDocument/2006/relationships/styles" Target="styles.xml"/><Relationship Id="rId25" Type="http://schemas.openxmlformats.org/officeDocument/2006/relationships/hyperlink" Target="http://app.leg.wa.gov/WAC/default.aspx?cite=357-19-360" TargetMode="External"/><Relationship Id="rId46" Type="http://schemas.openxmlformats.org/officeDocument/2006/relationships/hyperlink" Target="http://app.leg.wa.gov/RCW/default.aspx?cite=38.52.070" TargetMode="External"/><Relationship Id="rId67" Type="http://schemas.openxmlformats.org/officeDocument/2006/relationships/hyperlink" Target="http://app.leg.wa.gov/RCW/default.aspx?cite=9A.46.110" TargetMode="External"/><Relationship Id="rId116" Type="http://schemas.openxmlformats.org/officeDocument/2006/relationships/hyperlink" Target="http://app.leg.wa.gov/WAC/default.aspx?cite=357-16-220" TargetMode="External"/><Relationship Id="rId20" Type="http://schemas.openxmlformats.org/officeDocument/2006/relationships/hyperlink" Target="https://app.leg.wa.gov/wac/default.aspx?cite=357-58-225" TargetMode="External"/><Relationship Id="rId41" Type="http://schemas.openxmlformats.org/officeDocument/2006/relationships/hyperlink" Target="http://app.leg.wa.gov/WAC/default.aspx?cite=357-19-360" TargetMode="External"/><Relationship Id="rId62" Type="http://schemas.openxmlformats.org/officeDocument/2006/relationships/hyperlink" Target="http://app.leg.wa.gov/RCW/default.aspx?cite=49.12.265" TargetMode="External"/><Relationship Id="rId83" Type="http://schemas.openxmlformats.org/officeDocument/2006/relationships/hyperlink" Target="http://app.leg.wa.gov/RCW/default.aspx?cite=71A.12" TargetMode="External"/><Relationship Id="rId88" Type="http://schemas.openxmlformats.org/officeDocument/2006/relationships/hyperlink" Target="http://app.leg.wa.gov/RCW/default.aspx?cite=11.130.265" TargetMode="External"/><Relationship Id="rId111" Type="http://schemas.openxmlformats.org/officeDocument/2006/relationships/hyperlink" Target="https://app.leg.wa.gov/RCW/default.aspx?cite=49.58.110" TargetMode="External"/><Relationship Id="rId15" Type="http://schemas.openxmlformats.org/officeDocument/2006/relationships/hyperlink" Target="https://app.leg.wa.gov/WAC/default.aspx?cite=357-19-370" TargetMode="External"/><Relationship Id="rId36" Type="http://schemas.openxmlformats.org/officeDocument/2006/relationships/hyperlink" Target="http://app.leg.wa.gov/WAC/default.aspx?cite=357-43-001" TargetMode="External"/><Relationship Id="rId57" Type="http://schemas.openxmlformats.org/officeDocument/2006/relationships/hyperlink" Target="http://app.leg.wa.gov/RCW/default.aspx?cite=38.52.010" TargetMode="External"/><Relationship Id="rId106" Type="http://schemas.openxmlformats.org/officeDocument/2006/relationships/hyperlink" Target="https://app.leg.wa.gov/WAC/default.aspx?cite=357-28-135" TargetMode="External"/><Relationship Id="rId10" Type="http://schemas.openxmlformats.org/officeDocument/2006/relationships/hyperlink" Target="https://app.leg.wa.gov/WAC/default.aspx?cite=357-19-085" TargetMode="External"/><Relationship Id="rId31" Type="http://schemas.openxmlformats.org/officeDocument/2006/relationships/hyperlink" Target="http://app.leg.wa.gov/WAC/default.aspx?cite=357-04-105" TargetMode="External"/><Relationship Id="rId52" Type="http://schemas.openxmlformats.org/officeDocument/2006/relationships/hyperlink" Target="http://app.leg.wa.gov/RCW/default.aspx?cite=38.52.430" TargetMode="External"/><Relationship Id="rId73" Type="http://schemas.openxmlformats.org/officeDocument/2006/relationships/hyperlink" Target="http://app.leg.wa.gov/RCW/default.aspx?cite=9.94A.030" TargetMode="External"/><Relationship Id="rId78" Type="http://schemas.openxmlformats.org/officeDocument/2006/relationships/hyperlink" Target="http://app.leg.wa.gov/RCW/default.aspx?cite=71A.20" TargetMode="External"/><Relationship Id="rId94" Type="http://schemas.openxmlformats.org/officeDocument/2006/relationships/hyperlink" Target="http://app.leg.wa.gov/RCW/default.aspx?cite=74.39" TargetMode="External"/><Relationship Id="rId99" Type="http://schemas.openxmlformats.org/officeDocument/2006/relationships/hyperlink" Target="https://gcc02.safelinks.protection.outlook.com/?url=https%3A%2F%2Fapp.leg.wa.gov%2FRCW%2Fdefault.aspx%3Fcite%3D49.17.062&amp;data=05%7C01%7Crules%40ofm.wa.gov%7Ce7d8d5fdd50746ca8eee08daa723a6e5%7C11d0e217264e400a8ba057dcc127d72d%7C0%7C0%7C638006069113162691%7CUnknown%7CTWFpbGZsb3d8eyJWIjoiMC4wLjAwMDAiLCJQIjoiV2luMzIiLCJBTiI6Ik1haWwiLCJXVCI6Mn0%3D%7C3000%7C%7C%7C&amp;sdata=%2BOsN17I%2BvvqcVdpX4WYo1bx7ZZbVN3%2BbyqerzikOE0Q%3D&amp;reserved=0" TargetMode="External"/><Relationship Id="rId101" Type="http://schemas.openxmlformats.org/officeDocument/2006/relationships/hyperlink" Target="http://app.leg.wa.gov/RCW/default.aspx?cite=49.17.062"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leg.wa.gov/WAC/default.aspx?cite=357-19-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23370</Words>
  <Characters>133214</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Rule Review Items – October 10, 2023</vt:lpstr>
    </vt:vector>
  </TitlesOfParts>
  <Company>Washington Technology Solutions</Company>
  <LinksUpToDate>false</LinksUpToDate>
  <CharactersWithSpaces>156272</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October 10, 2023</dc:title>
  <dc:subject/>
  <dc:creator>Foshaug, Patricia (OFM)</dc:creator>
  <cp:keywords/>
  <dc:description/>
  <cp:lastModifiedBy>Trujillo, Brittany (OFM)</cp:lastModifiedBy>
  <cp:revision>4</cp:revision>
  <cp:lastPrinted>2021-09-29T18:08:00Z</cp:lastPrinted>
  <dcterms:created xsi:type="dcterms:W3CDTF">2023-10-05T17:44:00Z</dcterms:created>
  <dcterms:modified xsi:type="dcterms:W3CDTF">2023-10-05T17:47:00Z</dcterms:modified>
</cp:coreProperties>
</file>