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4613"/>
      </w:tblGrid>
      <w:tr w:rsidR="00EE3702" w14:paraId="1509373D" w14:textId="77777777" w:rsidTr="00D64276">
        <w:trPr>
          <w:trHeight w:val="459"/>
        </w:trPr>
        <w:tc>
          <w:tcPr>
            <w:tcW w:w="4613" w:type="dxa"/>
            <w:shd w:val="clear" w:color="auto" w:fill="385623" w:themeFill="accent6" w:themeFillShade="80"/>
          </w:tcPr>
          <w:p w14:paraId="01108BC9" w14:textId="77777777" w:rsidR="00EE3702" w:rsidRPr="00AB5B36" w:rsidRDefault="00DD1B73" w:rsidP="00DD1B73">
            <w:pPr>
              <w:jc w:val="center"/>
              <w:rPr>
                <w:b/>
                <w:color w:val="FFFFFF" w:themeColor="background1"/>
              </w:rPr>
            </w:pPr>
            <w:r w:rsidRPr="00AB5B36">
              <w:rPr>
                <w:b/>
                <w:color w:val="FFFFFF" w:themeColor="background1"/>
              </w:rPr>
              <w:t>Questions</w:t>
            </w:r>
          </w:p>
        </w:tc>
        <w:tc>
          <w:tcPr>
            <w:tcW w:w="4613" w:type="dxa"/>
            <w:shd w:val="clear" w:color="auto" w:fill="385623" w:themeFill="accent6" w:themeFillShade="80"/>
          </w:tcPr>
          <w:p w14:paraId="72CF47FA" w14:textId="77777777" w:rsidR="00EE3702" w:rsidRPr="00AB5B36" w:rsidRDefault="00DD1B73" w:rsidP="00DD1B73">
            <w:pPr>
              <w:jc w:val="center"/>
              <w:rPr>
                <w:b/>
                <w:color w:val="FFFFFF" w:themeColor="background1"/>
              </w:rPr>
            </w:pPr>
            <w:r w:rsidRPr="00AB5B36">
              <w:rPr>
                <w:b/>
                <w:color w:val="FFFFFF" w:themeColor="background1"/>
              </w:rPr>
              <w:t>Answers</w:t>
            </w:r>
          </w:p>
        </w:tc>
      </w:tr>
      <w:tr w:rsidR="00EE3702" w14:paraId="17973593" w14:textId="77777777" w:rsidTr="00D64276">
        <w:trPr>
          <w:trHeight w:val="1545"/>
        </w:trPr>
        <w:tc>
          <w:tcPr>
            <w:tcW w:w="4613" w:type="dxa"/>
          </w:tcPr>
          <w:p w14:paraId="1D98D017" w14:textId="77777777" w:rsidR="00EE3702" w:rsidRPr="002D370C" w:rsidRDefault="00AB5B36">
            <w:pPr>
              <w:rPr>
                <w:b/>
              </w:rPr>
            </w:pPr>
            <w:bookmarkStart w:id="0" w:name="_Hlk23761816"/>
            <w:r w:rsidRPr="002D370C">
              <w:rPr>
                <w:b/>
              </w:rPr>
              <w:t>What is the purpose of this assessment?</w:t>
            </w:r>
          </w:p>
        </w:tc>
        <w:tc>
          <w:tcPr>
            <w:tcW w:w="4613" w:type="dxa"/>
          </w:tcPr>
          <w:p w14:paraId="51B821F6" w14:textId="3FC7952C" w:rsidR="00EE3702" w:rsidRDefault="00EE52BE" w:rsidP="00D77448">
            <w:r>
              <w:t xml:space="preserve">The </w:t>
            </w:r>
            <w:r w:rsidR="000472FF">
              <w:t>purpose</w:t>
            </w:r>
            <w:r w:rsidR="00F66546">
              <w:t xml:space="preserve"> of the assessment is </w:t>
            </w:r>
            <w:r>
              <w:t xml:space="preserve">to measure </w:t>
            </w:r>
            <w:r w:rsidR="00356E03">
              <w:t>the initial readiness level of</w:t>
            </w:r>
            <w:r>
              <w:t xml:space="preserve"> each agency’s people and processes </w:t>
            </w:r>
            <w:r w:rsidR="008114E7">
              <w:t>for One Washington</w:t>
            </w:r>
            <w:r>
              <w:t xml:space="preserve">. </w:t>
            </w:r>
            <w:r w:rsidR="000472FF">
              <w:t>T</w:t>
            </w:r>
            <w:r>
              <w:t xml:space="preserve">echnology readiness </w:t>
            </w:r>
            <w:r w:rsidR="005D1DF3">
              <w:t xml:space="preserve">questions </w:t>
            </w:r>
            <w:r w:rsidR="000472FF">
              <w:t>are</w:t>
            </w:r>
            <w:r w:rsidR="005D1DF3">
              <w:t xml:space="preserve"> </w:t>
            </w:r>
            <w:r w:rsidR="000472FF">
              <w:t>g</w:t>
            </w:r>
            <w:r w:rsidR="00D77448">
              <w:t>athered separately through the A</w:t>
            </w:r>
            <w:r w:rsidR="005D1DF3" w:rsidRPr="005D1DF3">
              <w:t xml:space="preserve">gency </w:t>
            </w:r>
            <w:r w:rsidR="00D77448">
              <w:t>System/I</w:t>
            </w:r>
            <w:r w:rsidR="005D1DF3" w:rsidRPr="005D1DF3">
              <w:t xml:space="preserve">nterface </w:t>
            </w:r>
            <w:r w:rsidR="005225CD">
              <w:t xml:space="preserve">data </w:t>
            </w:r>
            <w:r w:rsidR="005D1DF3" w:rsidRPr="005D1DF3">
              <w:t>request</w:t>
            </w:r>
            <w:r w:rsidR="00E20295">
              <w:t>.</w:t>
            </w:r>
          </w:p>
          <w:p w14:paraId="0A73CD4A" w14:textId="1F105C78" w:rsidR="00D77448" w:rsidRDefault="00D77448" w:rsidP="00D77448"/>
        </w:tc>
      </w:tr>
      <w:tr w:rsidR="00EE3702" w14:paraId="5C2437FE" w14:textId="77777777" w:rsidTr="00D64276">
        <w:trPr>
          <w:trHeight w:val="1545"/>
        </w:trPr>
        <w:tc>
          <w:tcPr>
            <w:tcW w:w="4613" w:type="dxa"/>
          </w:tcPr>
          <w:p w14:paraId="1EEF09E4" w14:textId="77777777" w:rsidR="00EE3702" w:rsidRPr="002D370C" w:rsidRDefault="00AB5B36">
            <w:pPr>
              <w:rPr>
                <w:b/>
              </w:rPr>
            </w:pPr>
            <w:r w:rsidRPr="002D370C">
              <w:rPr>
                <w:b/>
              </w:rPr>
              <w:t>What type of data is going to be collected?</w:t>
            </w:r>
          </w:p>
        </w:tc>
        <w:tc>
          <w:tcPr>
            <w:tcW w:w="4613" w:type="dxa"/>
          </w:tcPr>
          <w:p w14:paraId="61DF663F" w14:textId="77777777" w:rsidR="00B43D92" w:rsidRDefault="00824C66" w:rsidP="00711ADE">
            <w:r>
              <w:t xml:space="preserve">The </w:t>
            </w:r>
            <w:r w:rsidR="005820B6">
              <w:t xml:space="preserve">Baseline Readiness Assessment survey is collecting data about people and process readiness for each agency. </w:t>
            </w:r>
            <w:r w:rsidR="00274D33">
              <w:t>The majority of questions in the survey ask respondents for their level of agreement with statements about agency readiness and maturity levels for different process areas</w:t>
            </w:r>
            <w:r w:rsidR="00711ADE">
              <w:t xml:space="preserve"> (f</w:t>
            </w:r>
            <w:r w:rsidR="00A9074D">
              <w:t xml:space="preserve">inance, </w:t>
            </w:r>
            <w:r w:rsidR="00711ADE">
              <w:t>p</w:t>
            </w:r>
            <w:r w:rsidR="00A9074D">
              <w:t xml:space="preserve">rocurement, </w:t>
            </w:r>
            <w:r w:rsidR="00711ADE">
              <w:t>b</w:t>
            </w:r>
            <w:r w:rsidR="00A9074D">
              <w:t>udget, HR</w:t>
            </w:r>
            <w:r w:rsidR="00711ADE">
              <w:t xml:space="preserve"> and p</w:t>
            </w:r>
            <w:r w:rsidR="00A9074D">
              <w:t xml:space="preserve">ayroll, along with </w:t>
            </w:r>
            <w:r w:rsidR="00711ADE">
              <w:t>o</w:t>
            </w:r>
            <w:r w:rsidR="00A9074D">
              <w:t xml:space="preserve">rganizational </w:t>
            </w:r>
            <w:r w:rsidR="00711ADE">
              <w:t>c</w:t>
            </w:r>
            <w:r w:rsidR="00A9074D">
              <w:t xml:space="preserve">hange </w:t>
            </w:r>
            <w:r w:rsidR="00711ADE">
              <w:t>m</w:t>
            </w:r>
            <w:r w:rsidR="00A9074D">
              <w:t>anagement)</w:t>
            </w:r>
            <w:r w:rsidR="00274D33">
              <w:t xml:space="preserve">. </w:t>
            </w:r>
          </w:p>
          <w:p w14:paraId="38381FAE" w14:textId="528560CC" w:rsidR="00D77448" w:rsidRDefault="00D77448" w:rsidP="00711ADE"/>
        </w:tc>
      </w:tr>
      <w:tr w:rsidR="00EE3702" w14:paraId="7CBC896B" w14:textId="77777777" w:rsidTr="00D64276">
        <w:trPr>
          <w:trHeight w:val="1487"/>
        </w:trPr>
        <w:tc>
          <w:tcPr>
            <w:tcW w:w="4613" w:type="dxa"/>
          </w:tcPr>
          <w:p w14:paraId="7484E6AF" w14:textId="77777777" w:rsidR="00EE3702" w:rsidRPr="002D370C" w:rsidRDefault="00DF355B">
            <w:pPr>
              <w:rPr>
                <w:b/>
              </w:rPr>
            </w:pPr>
            <w:r>
              <w:rPr>
                <w:b/>
              </w:rPr>
              <w:t>How will the data be used?</w:t>
            </w:r>
          </w:p>
        </w:tc>
        <w:tc>
          <w:tcPr>
            <w:tcW w:w="4613" w:type="dxa"/>
          </w:tcPr>
          <w:p w14:paraId="63250A4F" w14:textId="77777777" w:rsidR="00EE3702" w:rsidRDefault="004513CF">
            <w:r>
              <w:t xml:space="preserve">The data helps </w:t>
            </w:r>
            <w:r w:rsidR="00586D2C">
              <w:t>the One Washington team</w:t>
            </w:r>
            <w:r>
              <w:t xml:space="preserve"> know </w:t>
            </w:r>
            <w:r w:rsidR="00356E03">
              <w:t>the amount of</w:t>
            </w:r>
            <w:r w:rsidR="006031CE">
              <w:t xml:space="preserve"> </w:t>
            </w:r>
            <w:r w:rsidR="00A9074D">
              <w:t xml:space="preserve">organizational </w:t>
            </w:r>
            <w:r w:rsidR="006031CE">
              <w:t xml:space="preserve">change management </w:t>
            </w:r>
            <w:r w:rsidR="00356E03">
              <w:t xml:space="preserve">needed and the level of </w:t>
            </w:r>
            <w:r w:rsidR="006031CE">
              <w:t xml:space="preserve">support </w:t>
            </w:r>
            <w:r w:rsidR="00356E03">
              <w:t xml:space="preserve">agencies may need </w:t>
            </w:r>
            <w:r w:rsidR="006031CE">
              <w:t>for</w:t>
            </w:r>
            <w:r w:rsidR="000472FF">
              <w:t xml:space="preserve"> the</w:t>
            </w:r>
            <w:r w:rsidR="006031CE">
              <w:t xml:space="preserve"> </w:t>
            </w:r>
            <w:r w:rsidR="00A9074D">
              <w:t xml:space="preserve">OneWa </w:t>
            </w:r>
            <w:r w:rsidR="006031CE">
              <w:t xml:space="preserve">people and process transformation and system modernization. </w:t>
            </w:r>
          </w:p>
          <w:p w14:paraId="2992B87E" w14:textId="07F87ECC" w:rsidR="00D77448" w:rsidRDefault="00D77448"/>
        </w:tc>
      </w:tr>
      <w:tr w:rsidR="00EE3702" w14:paraId="4C49599E" w14:textId="77777777" w:rsidTr="00D64276">
        <w:trPr>
          <w:trHeight w:val="875"/>
        </w:trPr>
        <w:tc>
          <w:tcPr>
            <w:tcW w:w="4613" w:type="dxa"/>
          </w:tcPr>
          <w:p w14:paraId="6AEE648E" w14:textId="77777777" w:rsidR="00EE3702" w:rsidRPr="002D370C" w:rsidRDefault="00AB5B36">
            <w:pPr>
              <w:rPr>
                <w:b/>
              </w:rPr>
            </w:pPr>
            <w:r w:rsidRPr="002D370C">
              <w:rPr>
                <w:b/>
              </w:rPr>
              <w:t>When will the assessment happen?</w:t>
            </w:r>
          </w:p>
        </w:tc>
        <w:tc>
          <w:tcPr>
            <w:tcW w:w="4613" w:type="dxa"/>
          </w:tcPr>
          <w:p w14:paraId="1DD33FF5" w14:textId="5FA548FD" w:rsidR="004E3704" w:rsidRDefault="004E3704" w:rsidP="004E3704">
            <w:r>
              <w:t>The survey is open from November 12 through December 6.</w:t>
            </w:r>
          </w:p>
        </w:tc>
      </w:tr>
      <w:tr w:rsidR="00524C66" w14:paraId="55F82247" w14:textId="77777777" w:rsidTr="00D64276">
        <w:trPr>
          <w:trHeight w:val="1545"/>
        </w:trPr>
        <w:tc>
          <w:tcPr>
            <w:tcW w:w="4613" w:type="dxa"/>
          </w:tcPr>
          <w:p w14:paraId="0D0156E6" w14:textId="77777777" w:rsidR="00524C66" w:rsidRPr="002D370C" w:rsidRDefault="00524C66" w:rsidP="00524C66">
            <w:pPr>
              <w:rPr>
                <w:b/>
              </w:rPr>
            </w:pPr>
            <w:r>
              <w:rPr>
                <w:b/>
              </w:rPr>
              <w:t>Why is this assessment happening now?</w:t>
            </w:r>
          </w:p>
        </w:tc>
        <w:tc>
          <w:tcPr>
            <w:tcW w:w="4613" w:type="dxa"/>
          </w:tcPr>
          <w:p w14:paraId="67EEC86B" w14:textId="77777777" w:rsidR="00524C66" w:rsidRDefault="00996E6C" w:rsidP="00524C66">
            <w:r>
              <w:t>While it m</w:t>
            </w:r>
            <w:r w:rsidR="007429F3">
              <w:t xml:space="preserve">ay seem the outcomes of the OneWa program are a long way off, there </w:t>
            </w:r>
            <w:r w:rsidR="00504744">
              <w:t xml:space="preserve">are </w:t>
            </w:r>
            <w:r w:rsidR="007429F3">
              <w:t xml:space="preserve">readiness activities agencies will need to complete prior to </w:t>
            </w:r>
            <w:r w:rsidR="00A9074D">
              <w:t>the first OneWa deployment</w:t>
            </w:r>
            <w:r w:rsidR="007429F3">
              <w:t xml:space="preserve">. The Baseline Readiness Assessment is happening now so that the program can support early change management efforts and prepare agencies. </w:t>
            </w:r>
          </w:p>
          <w:p w14:paraId="076F5AB9" w14:textId="34C0EA71" w:rsidR="00D77448" w:rsidRDefault="00D77448" w:rsidP="00524C66"/>
        </w:tc>
      </w:tr>
      <w:tr w:rsidR="00524C66" w14:paraId="74C45C2B" w14:textId="77777777" w:rsidTr="00D64276">
        <w:trPr>
          <w:trHeight w:val="1545"/>
        </w:trPr>
        <w:tc>
          <w:tcPr>
            <w:tcW w:w="4613" w:type="dxa"/>
          </w:tcPr>
          <w:p w14:paraId="2B9C07C7" w14:textId="791F87F1" w:rsidR="00524C66" w:rsidRDefault="000472FF" w:rsidP="00524C66">
            <w:pPr>
              <w:rPr>
                <w:b/>
              </w:rPr>
            </w:pPr>
            <w:r>
              <w:rPr>
                <w:b/>
              </w:rPr>
              <w:t>I don’t work in all five of these process areas—what do I do?</w:t>
            </w:r>
          </w:p>
        </w:tc>
        <w:tc>
          <w:tcPr>
            <w:tcW w:w="4613" w:type="dxa"/>
          </w:tcPr>
          <w:p w14:paraId="1BE329B9" w14:textId="4B863783" w:rsidR="004732DF" w:rsidRDefault="000472FF" w:rsidP="00524C66">
            <w:r>
              <w:t xml:space="preserve">Please answer all questions in the Background, Change Leadership, Agency Employee Readiness, Organizational Change Management, and Communications categories. However, </w:t>
            </w:r>
            <w:r w:rsidRPr="000472FF">
              <w:rPr>
                <w:b/>
                <w:i/>
              </w:rPr>
              <w:t>only</w:t>
            </w:r>
            <w:r>
              <w:rPr>
                <w:i/>
              </w:rPr>
              <w:t xml:space="preserve"> </w:t>
            </w:r>
            <w:r>
              <w:t>answer process area questions for your relevant process area.</w:t>
            </w:r>
            <w:r w:rsidR="00EF37E9">
              <w:t xml:space="preserve"> If a process area doesn’t apply to you, please select Not Applicable (N/A). </w:t>
            </w:r>
          </w:p>
          <w:p w14:paraId="2217FBF3" w14:textId="08468DB0" w:rsidR="00586D2C" w:rsidRPr="004732DF" w:rsidRDefault="00586D2C" w:rsidP="004732DF"/>
        </w:tc>
      </w:tr>
      <w:tr w:rsidR="000472FF" w14:paraId="79D8A8D2" w14:textId="77777777" w:rsidTr="00D64276">
        <w:trPr>
          <w:trHeight w:val="1545"/>
        </w:trPr>
        <w:tc>
          <w:tcPr>
            <w:tcW w:w="4613" w:type="dxa"/>
          </w:tcPr>
          <w:p w14:paraId="2F63709A" w14:textId="51F43ACA" w:rsidR="000472FF" w:rsidRDefault="00586D2C" w:rsidP="00524C66">
            <w:pPr>
              <w:rPr>
                <w:b/>
              </w:rPr>
            </w:pPr>
            <w:r>
              <w:rPr>
                <w:b/>
              </w:rPr>
              <w:t>This survey seems long—can I save my progress?</w:t>
            </w:r>
          </w:p>
        </w:tc>
        <w:tc>
          <w:tcPr>
            <w:tcW w:w="4613" w:type="dxa"/>
          </w:tcPr>
          <w:p w14:paraId="14E39505" w14:textId="0DDAF477" w:rsidR="000472FF" w:rsidRDefault="00586D2C" w:rsidP="00524C66">
            <w:r>
              <w:t xml:space="preserve">Unfortunately, the survey tool times out after 30 minutes of inactivity, and you cannot save your </w:t>
            </w:r>
            <w:r w:rsidR="00B94EA5">
              <w:t>work</w:t>
            </w:r>
            <w:r>
              <w:t xml:space="preserve">. Please </w:t>
            </w:r>
            <w:r w:rsidR="00356E03">
              <w:t xml:space="preserve">plan </w:t>
            </w:r>
            <w:r>
              <w:t>enough time to take the survey so you do not lose your work.</w:t>
            </w:r>
          </w:p>
        </w:tc>
      </w:tr>
      <w:tr w:rsidR="00586D2C" w14:paraId="3938EE70" w14:textId="77777777" w:rsidTr="00D64276">
        <w:trPr>
          <w:trHeight w:val="1545"/>
        </w:trPr>
        <w:tc>
          <w:tcPr>
            <w:tcW w:w="4613" w:type="dxa"/>
          </w:tcPr>
          <w:p w14:paraId="71AF2440" w14:textId="14370430" w:rsidR="00586D2C" w:rsidRDefault="00586D2C" w:rsidP="00524C66">
            <w:pPr>
              <w:rPr>
                <w:b/>
              </w:rPr>
            </w:pPr>
            <w:r>
              <w:rPr>
                <w:b/>
              </w:rPr>
              <w:t>What if I don’t know the answer to one of the people or relevant process area questions?</w:t>
            </w:r>
          </w:p>
        </w:tc>
        <w:tc>
          <w:tcPr>
            <w:tcW w:w="4613" w:type="dxa"/>
          </w:tcPr>
          <w:p w14:paraId="670EAE13" w14:textId="4506A785" w:rsidR="00586D2C" w:rsidRDefault="00586D2C" w:rsidP="00524C66">
            <w:r>
              <w:t>We appreciate your effort to answer these questions as accurately as possible but recognize you may not know the answers to all of them. We have provided an N/A option on each question for this reason.</w:t>
            </w:r>
          </w:p>
        </w:tc>
      </w:tr>
      <w:tr w:rsidR="00586D2C" w14:paraId="29D9FA4D" w14:textId="77777777" w:rsidTr="00D64276">
        <w:trPr>
          <w:trHeight w:val="1545"/>
        </w:trPr>
        <w:tc>
          <w:tcPr>
            <w:tcW w:w="4613" w:type="dxa"/>
          </w:tcPr>
          <w:p w14:paraId="5CE773E7" w14:textId="15706BEC" w:rsidR="00586D2C" w:rsidRDefault="00586D2C" w:rsidP="00524C66">
            <w:pPr>
              <w:rPr>
                <w:b/>
              </w:rPr>
            </w:pPr>
            <w:r>
              <w:rPr>
                <w:b/>
              </w:rPr>
              <w:t>Where can I find more detailed instructions on how to complete the survey?</w:t>
            </w:r>
          </w:p>
        </w:tc>
        <w:tc>
          <w:tcPr>
            <w:tcW w:w="4613" w:type="dxa"/>
          </w:tcPr>
          <w:p w14:paraId="36565A7B" w14:textId="7DF2716A" w:rsidR="00586D2C" w:rsidRPr="009D3CE2" w:rsidRDefault="00DD10EF" w:rsidP="00D77448">
            <w:r w:rsidRPr="009D3CE2">
              <w:t>Please use the following link to access the POC Toolkit and a recording of the survey orientation presentation:</w:t>
            </w:r>
            <w:r w:rsidR="00D77448">
              <w:t xml:space="preserve"> </w:t>
            </w:r>
            <w:hyperlink r:id="rId7" w:history="1">
              <w:r w:rsidR="00D77448" w:rsidRPr="00B4321C">
                <w:rPr>
                  <w:rStyle w:val="Hyperlink"/>
                </w:rPr>
                <w:t>https://ofm.wa.gov/about/special-initiatives/one-washington/agency-resources</w:t>
              </w:r>
            </w:hyperlink>
            <w:r w:rsidR="00D77448">
              <w:t xml:space="preserve"> </w:t>
            </w:r>
          </w:p>
        </w:tc>
      </w:tr>
      <w:tr w:rsidR="00586D2C" w14:paraId="0554621B" w14:textId="77777777" w:rsidTr="00D64276">
        <w:trPr>
          <w:trHeight w:val="1545"/>
        </w:trPr>
        <w:tc>
          <w:tcPr>
            <w:tcW w:w="4613" w:type="dxa"/>
          </w:tcPr>
          <w:p w14:paraId="0FEF7D1B" w14:textId="437B77A5" w:rsidR="00586D2C" w:rsidRDefault="00586D2C" w:rsidP="00524C66">
            <w:pPr>
              <w:rPr>
                <w:b/>
              </w:rPr>
            </w:pPr>
            <w:r>
              <w:rPr>
                <w:b/>
              </w:rPr>
              <w:t xml:space="preserve">What if I have additional questions that are not answered on the </w:t>
            </w:r>
            <w:r w:rsidR="00E62A64">
              <w:rPr>
                <w:b/>
              </w:rPr>
              <w:t xml:space="preserve">Q&amp;A </w:t>
            </w:r>
            <w:r>
              <w:rPr>
                <w:b/>
              </w:rPr>
              <w:t xml:space="preserve">sheet or in the </w:t>
            </w:r>
            <w:r w:rsidR="00EF37E9">
              <w:rPr>
                <w:b/>
              </w:rPr>
              <w:t>orientation</w:t>
            </w:r>
            <w:r>
              <w:rPr>
                <w:b/>
              </w:rPr>
              <w:t>?</w:t>
            </w:r>
          </w:p>
        </w:tc>
        <w:tc>
          <w:tcPr>
            <w:tcW w:w="4613" w:type="dxa"/>
          </w:tcPr>
          <w:p w14:paraId="719F3F82" w14:textId="796578DC" w:rsidR="00586D2C" w:rsidRDefault="00586D2C" w:rsidP="00524C66">
            <w:r>
              <w:t xml:space="preserve">Please contact </w:t>
            </w:r>
            <w:hyperlink r:id="rId8" w:history="1">
              <w:r w:rsidR="009D3CE2" w:rsidRPr="005D4B93">
                <w:rPr>
                  <w:rStyle w:val="Hyperlink"/>
                </w:rPr>
                <w:t>onewa@ofm.wa.gov</w:t>
              </w:r>
            </w:hyperlink>
            <w:r w:rsidR="004339C4">
              <w:t xml:space="preserve"> with any questions about the survey.</w:t>
            </w:r>
          </w:p>
        </w:tc>
      </w:tr>
      <w:tr w:rsidR="00586D2C" w14:paraId="4088BE3B" w14:textId="77777777" w:rsidTr="00D64276">
        <w:trPr>
          <w:trHeight w:val="1545"/>
        </w:trPr>
        <w:tc>
          <w:tcPr>
            <w:tcW w:w="4613" w:type="dxa"/>
          </w:tcPr>
          <w:p w14:paraId="1E7692E0" w14:textId="5401E7C5" w:rsidR="00586D2C" w:rsidRPr="00C84A17" w:rsidRDefault="00470C3D" w:rsidP="00586D2C">
            <w:pPr>
              <w:rPr>
                <w:b/>
              </w:rPr>
            </w:pPr>
            <w:r w:rsidRPr="00C84A17">
              <w:rPr>
                <w:b/>
              </w:rPr>
              <w:t>There are a couple of typos and formatting mistakes in the survey – are these being addressed?</w:t>
            </w:r>
          </w:p>
        </w:tc>
        <w:tc>
          <w:tcPr>
            <w:tcW w:w="4613" w:type="dxa"/>
          </w:tcPr>
          <w:p w14:paraId="45ED6D59" w14:textId="5264210E" w:rsidR="00586D2C" w:rsidRDefault="00470C3D" w:rsidP="00586D2C">
            <w:r>
              <w:t xml:space="preserve">Yes – the team is aware of the typos and formatting errors and has fixed all known issues. We apologize for any confusion or inconvenience these may have caused. </w:t>
            </w:r>
          </w:p>
        </w:tc>
      </w:tr>
      <w:tr w:rsidR="00586D2C" w14:paraId="39C2F96D" w14:textId="77777777" w:rsidTr="00D64276">
        <w:trPr>
          <w:trHeight w:val="1545"/>
        </w:trPr>
        <w:tc>
          <w:tcPr>
            <w:tcW w:w="4613" w:type="dxa"/>
          </w:tcPr>
          <w:p w14:paraId="1E78418E" w14:textId="6698B900" w:rsidR="00586D2C" w:rsidRDefault="00586D2C" w:rsidP="00586D2C">
            <w:pPr>
              <w:rPr>
                <w:b/>
              </w:rPr>
            </w:pPr>
            <w:r w:rsidRPr="002D370C">
              <w:rPr>
                <w:b/>
              </w:rPr>
              <w:lastRenderedPageBreak/>
              <w:t xml:space="preserve">Some functions within my agency are supported by DES; how will </w:t>
            </w:r>
            <w:r>
              <w:rPr>
                <w:b/>
              </w:rPr>
              <w:t>information be collected from us?</w:t>
            </w:r>
          </w:p>
        </w:tc>
        <w:tc>
          <w:tcPr>
            <w:tcW w:w="4613" w:type="dxa"/>
          </w:tcPr>
          <w:p w14:paraId="0677B763" w14:textId="1F878342" w:rsidR="00586D2C" w:rsidRDefault="00586D2C" w:rsidP="00586D2C">
            <w:r>
              <w:t>For those process services purchased directly from DES, we will gather data directly from</w:t>
            </w:r>
            <w:r w:rsidR="00CB66DD">
              <w:t xml:space="preserve"> DES</w:t>
            </w:r>
            <w:r>
              <w:t xml:space="preserve"> (you can leave these sections blank on the survey). For the other, non-DES supported services, we will need your input. </w:t>
            </w:r>
          </w:p>
        </w:tc>
      </w:tr>
      <w:tr w:rsidR="00E3046C" w14:paraId="1ED546B8" w14:textId="77777777" w:rsidTr="00D64276">
        <w:trPr>
          <w:trHeight w:val="1545"/>
        </w:trPr>
        <w:tc>
          <w:tcPr>
            <w:tcW w:w="4613" w:type="dxa"/>
          </w:tcPr>
          <w:p w14:paraId="507025A6" w14:textId="59B2067D" w:rsidR="00E3046C" w:rsidRPr="00586D2C" w:rsidRDefault="008C131E" w:rsidP="00586D2C">
            <w:pPr>
              <w:rPr>
                <w:b/>
                <w:highlight w:val="yellow"/>
              </w:rPr>
            </w:pPr>
            <w:r w:rsidRPr="008C131E">
              <w:rPr>
                <w:b/>
              </w:rPr>
              <w:t>How can an agency POC know how many surveys have been completed by the</w:t>
            </w:r>
            <w:r w:rsidR="00590831">
              <w:rPr>
                <w:b/>
              </w:rPr>
              <w:t xml:space="preserve">ir </w:t>
            </w:r>
            <w:r w:rsidRPr="008C131E">
              <w:rPr>
                <w:b/>
              </w:rPr>
              <w:t>agency? And by what business area?</w:t>
            </w:r>
          </w:p>
        </w:tc>
        <w:tc>
          <w:tcPr>
            <w:tcW w:w="4613" w:type="dxa"/>
          </w:tcPr>
          <w:p w14:paraId="796124FF" w14:textId="13812D4F" w:rsidR="00E3046C" w:rsidRDefault="00711ADE" w:rsidP="00711ADE">
            <w:r>
              <w:t>The OneWa o</w:t>
            </w:r>
            <w:r w:rsidR="00B31D05">
              <w:t xml:space="preserve">rganizational </w:t>
            </w:r>
            <w:r>
              <w:t>c</w:t>
            </w:r>
            <w:r w:rsidR="00B31D05">
              <w:t xml:space="preserve">hange </w:t>
            </w:r>
            <w:r>
              <w:t>m</w:t>
            </w:r>
            <w:r w:rsidR="00B31D05">
              <w:t xml:space="preserve">anagement (OCM) team is tracking survey participation and will be periodically updating status on the “Wall of Success” report that will be shared with the POC network. </w:t>
            </w:r>
          </w:p>
        </w:tc>
      </w:tr>
      <w:tr w:rsidR="008C131E" w14:paraId="56F850F9" w14:textId="77777777" w:rsidTr="00D64276">
        <w:trPr>
          <w:trHeight w:val="1545"/>
        </w:trPr>
        <w:tc>
          <w:tcPr>
            <w:tcW w:w="4613" w:type="dxa"/>
          </w:tcPr>
          <w:p w14:paraId="26E2D47F" w14:textId="294F4A5D" w:rsidR="008C131E" w:rsidRPr="008C131E" w:rsidRDefault="008C131E" w:rsidP="00586D2C">
            <w:pPr>
              <w:rPr>
                <w:b/>
              </w:rPr>
            </w:pPr>
            <w:r w:rsidRPr="008C131E">
              <w:rPr>
                <w:b/>
              </w:rPr>
              <w:t>Since the survey must be completed in one sitting, is there an offline version available for advance preparation by the participant?</w:t>
            </w:r>
          </w:p>
        </w:tc>
        <w:tc>
          <w:tcPr>
            <w:tcW w:w="4613" w:type="dxa"/>
          </w:tcPr>
          <w:p w14:paraId="66FEC5D4" w14:textId="6DEA59B2" w:rsidR="008C131E" w:rsidRDefault="00B31D05" w:rsidP="00586D2C">
            <w:r>
              <w:t xml:space="preserve">Yes, we have posted an Excel version of the survey </w:t>
            </w:r>
            <w:r w:rsidR="009D3CE2">
              <w:t>at</w:t>
            </w:r>
            <w:bookmarkStart w:id="1" w:name="_GoBack"/>
            <w:bookmarkEnd w:id="1"/>
            <w:r w:rsidR="009D3CE2">
              <w:t xml:space="preserve"> </w:t>
            </w:r>
            <w:hyperlink r:id="rId9" w:history="1">
              <w:r w:rsidR="00D77448" w:rsidRPr="00B4321C">
                <w:rPr>
                  <w:rStyle w:val="Hyperlink"/>
                </w:rPr>
                <w:t>https://ofm.wa.gov/about/special-initiatives/one-washington/agency-resources</w:t>
              </w:r>
            </w:hyperlink>
            <w:r w:rsidR="00D77448">
              <w:t xml:space="preserve"> </w:t>
            </w:r>
          </w:p>
        </w:tc>
      </w:tr>
      <w:tr w:rsidR="008C131E" w14:paraId="5531D44D" w14:textId="77777777" w:rsidTr="00D64276">
        <w:trPr>
          <w:trHeight w:val="1545"/>
        </w:trPr>
        <w:tc>
          <w:tcPr>
            <w:tcW w:w="4613" w:type="dxa"/>
          </w:tcPr>
          <w:p w14:paraId="5300B5A7" w14:textId="6E8B01EA" w:rsidR="008C131E" w:rsidRPr="008C131E" w:rsidRDefault="0036644C" w:rsidP="00586D2C">
            <w:pPr>
              <w:rPr>
                <w:b/>
              </w:rPr>
            </w:pPr>
            <w:r>
              <w:rPr>
                <w:b/>
              </w:rPr>
              <w:t>Do you have a breakout of which questions apply to which processes?</w:t>
            </w:r>
          </w:p>
        </w:tc>
        <w:tc>
          <w:tcPr>
            <w:tcW w:w="4613" w:type="dxa"/>
          </w:tcPr>
          <w:p w14:paraId="5D45AE05" w14:textId="35C0863C" w:rsidR="008C131E" w:rsidRDefault="00B31D05" w:rsidP="00586D2C">
            <w:r>
              <w:t xml:space="preserve">Yes, please review the Excel version of the survey available here to see the breakout of questions to processes. </w:t>
            </w:r>
          </w:p>
        </w:tc>
      </w:tr>
      <w:tr w:rsidR="0036644C" w14:paraId="6D1CB6F5" w14:textId="77777777" w:rsidTr="00D64276">
        <w:trPr>
          <w:trHeight w:val="1545"/>
        </w:trPr>
        <w:tc>
          <w:tcPr>
            <w:tcW w:w="4613" w:type="dxa"/>
          </w:tcPr>
          <w:p w14:paraId="2BC06831" w14:textId="2DD8B217" w:rsidR="0036644C" w:rsidRDefault="0036644C" w:rsidP="00586D2C">
            <w:pPr>
              <w:rPr>
                <w:b/>
              </w:rPr>
            </w:pPr>
            <w:r>
              <w:rPr>
                <w:b/>
              </w:rPr>
              <w:t xml:space="preserve">Will we get a copy of the </w:t>
            </w:r>
            <w:r w:rsidR="00E124EF">
              <w:rPr>
                <w:b/>
              </w:rPr>
              <w:t>survey responses for our agency?</w:t>
            </w:r>
          </w:p>
        </w:tc>
        <w:tc>
          <w:tcPr>
            <w:tcW w:w="4613" w:type="dxa"/>
          </w:tcPr>
          <w:p w14:paraId="0F69E902" w14:textId="7EE0D7E3" w:rsidR="0036644C" w:rsidRDefault="00B31D05" w:rsidP="00586D2C">
            <w:r>
              <w:t xml:space="preserve">Yes, </w:t>
            </w:r>
            <w:r w:rsidR="00B94EA5">
              <w:t>once the full report is</w:t>
            </w:r>
            <w:r w:rsidR="008E36EB">
              <w:t xml:space="preserve"> complete</w:t>
            </w:r>
            <w:r w:rsidR="00B94EA5">
              <w:t xml:space="preserve"> (in Spring of 2020)</w:t>
            </w:r>
            <w:r w:rsidR="008E36EB">
              <w:t xml:space="preserve">, we will share the results with the </w:t>
            </w:r>
            <w:hyperlink r:id="rId10" w:history="1">
              <w:r w:rsidR="008E36EB" w:rsidRPr="00D77448">
                <w:rPr>
                  <w:rStyle w:val="Hyperlink"/>
                </w:rPr>
                <w:t>agency POC network</w:t>
              </w:r>
            </w:hyperlink>
            <w:r w:rsidR="008E36EB">
              <w:t xml:space="preserve">. </w:t>
            </w:r>
          </w:p>
        </w:tc>
      </w:tr>
      <w:tr w:rsidR="00E124EF" w14:paraId="4CE14A46" w14:textId="77777777" w:rsidTr="00D64276">
        <w:trPr>
          <w:trHeight w:val="1545"/>
        </w:trPr>
        <w:tc>
          <w:tcPr>
            <w:tcW w:w="4613" w:type="dxa"/>
          </w:tcPr>
          <w:p w14:paraId="7D5148D7" w14:textId="1FB5A638" w:rsidR="00E124EF" w:rsidRDefault="00E124EF" w:rsidP="00586D2C">
            <w:pPr>
              <w:rPr>
                <w:b/>
              </w:rPr>
            </w:pPr>
            <w:r>
              <w:rPr>
                <w:b/>
              </w:rPr>
              <w:t>Are you expecting responses by</w:t>
            </w:r>
            <w:r w:rsidR="00AD1CD8">
              <w:rPr>
                <w:b/>
              </w:rPr>
              <w:t xml:space="preserve"> </w:t>
            </w:r>
            <w:r w:rsidR="00AD1CD8" w:rsidRPr="00AD1CD8">
              <w:rPr>
                <w:b/>
              </w:rPr>
              <w:t>Subject Matter Expert</w:t>
            </w:r>
            <w:r>
              <w:rPr>
                <w:b/>
              </w:rPr>
              <w:t xml:space="preserve"> </w:t>
            </w:r>
            <w:r w:rsidR="00AD1CD8">
              <w:rPr>
                <w:b/>
              </w:rPr>
              <w:t>(</w:t>
            </w:r>
            <w:r>
              <w:rPr>
                <w:b/>
              </w:rPr>
              <w:t>SME</w:t>
            </w:r>
            <w:r w:rsidR="00AD1CD8">
              <w:rPr>
                <w:b/>
              </w:rPr>
              <w:t>)</w:t>
            </w:r>
            <w:r>
              <w:rPr>
                <w:b/>
              </w:rPr>
              <w:t xml:space="preserve"> for each agency or only one?</w:t>
            </w:r>
          </w:p>
        </w:tc>
        <w:tc>
          <w:tcPr>
            <w:tcW w:w="4613" w:type="dxa"/>
          </w:tcPr>
          <w:p w14:paraId="32644CC1" w14:textId="6A633C03" w:rsidR="009D3CE2" w:rsidRDefault="00876A4A" w:rsidP="009D3CE2">
            <w:r>
              <w:t xml:space="preserve">We are requesting multiple responses by different SMEs for each agency. </w:t>
            </w:r>
            <w:r w:rsidR="009D3CE2">
              <w:t xml:space="preserve">Slide 6 of the </w:t>
            </w:r>
            <w:hyperlink r:id="rId11" w:history="1">
              <w:r w:rsidR="009D3CE2" w:rsidRPr="00D77448">
                <w:rPr>
                  <w:rStyle w:val="Hyperlink"/>
                </w:rPr>
                <w:t>POC Toolkit</w:t>
              </w:r>
            </w:hyperlink>
            <w:r w:rsidR="009D3CE2">
              <w:t xml:space="preserve"> </w:t>
            </w:r>
            <w:r w:rsidR="00B85D61">
              <w:t xml:space="preserve">includes instructions on how many responses to target for each </w:t>
            </w:r>
            <w:r w:rsidR="00B94EA5">
              <w:t>process area</w:t>
            </w:r>
            <w:r w:rsidR="00AD1CD8">
              <w:t xml:space="preserve">.  </w:t>
            </w:r>
          </w:p>
        </w:tc>
      </w:tr>
      <w:tr w:rsidR="00E124EF" w14:paraId="532C7569" w14:textId="77777777" w:rsidTr="00D64276">
        <w:trPr>
          <w:trHeight w:val="1545"/>
        </w:trPr>
        <w:tc>
          <w:tcPr>
            <w:tcW w:w="4613" w:type="dxa"/>
          </w:tcPr>
          <w:p w14:paraId="071B44CB" w14:textId="755B92A0" w:rsidR="00E124EF" w:rsidRDefault="0078104B" w:rsidP="00586D2C">
            <w:pPr>
              <w:rPr>
                <w:b/>
              </w:rPr>
            </w:pPr>
            <w:r>
              <w:rPr>
                <w:b/>
              </w:rPr>
              <w:t>Are the responses anonymous?</w:t>
            </w:r>
          </w:p>
        </w:tc>
        <w:tc>
          <w:tcPr>
            <w:tcW w:w="4613" w:type="dxa"/>
          </w:tcPr>
          <w:p w14:paraId="3C2ADB51" w14:textId="3ACCA431" w:rsidR="00E124EF" w:rsidRDefault="00C368C2" w:rsidP="00586D2C">
            <w:r>
              <w:t xml:space="preserve">We are collecting names of survey participants for tracking </w:t>
            </w:r>
            <w:r w:rsidR="004D49C3">
              <w:t>purposes;</w:t>
            </w:r>
            <w:r>
              <w:t xml:space="preserve"> however, the Baseline Readiness Assessment Report will be an aggregate roll-up of responses and will not </w:t>
            </w:r>
            <w:r w:rsidR="00B94EA5">
              <w:t xml:space="preserve">include </w:t>
            </w:r>
            <w:r>
              <w:t xml:space="preserve">individual names. </w:t>
            </w:r>
          </w:p>
        </w:tc>
      </w:tr>
      <w:bookmarkEnd w:id="0"/>
    </w:tbl>
    <w:p w14:paraId="0795C751" w14:textId="77777777" w:rsidR="00D64276" w:rsidRDefault="00D64276"/>
    <w:sectPr w:rsidR="00D6427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12FA" w14:textId="77777777" w:rsidR="00145815" w:rsidRDefault="00145815" w:rsidP="00763AE5">
      <w:pPr>
        <w:spacing w:after="0" w:line="240" w:lineRule="auto"/>
      </w:pPr>
      <w:r>
        <w:separator/>
      </w:r>
    </w:p>
  </w:endnote>
  <w:endnote w:type="continuationSeparator" w:id="0">
    <w:p w14:paraId="41CB81A8" w14:textId="77777777" w:rsidR="00145815" w:rsidRDefault="00145815" w:rsidP="0076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8EEC" w14:textId="7D5D5923" w:rsidR="004732DF" w:rsidRDefault="004732DF" w:rsidP="004732DF">
    <w:pPr>
      <w:pStyle w:val="Footer"/>
      <w:jc w:val="right"/>
    </w:pPr>
    <w:r>
      <w:t xml:space="preserve">          11/20/2019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5733B8">
      <w:rPr>
        <w:noProof/>
      </w:rPr>
      <w:t>3</w:t>
    </w:r>
    <w:r>
      <w:rPr>
        <w:noProof/>
      </w:rPr>
      <w:fldChar w:fldCharType="end"/>
    </w:r>
  </w:p>
  <w:p w14:paraId="0DC98989" w14:textId="77777777" w:rsidR="004732DF" w:rsidRDefault="00473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068C" w14:textId="77777777" w:rsidR="00145815" w:rsidRDefault="00145815" w:rsidP="00763AE5">
      <w:pPr>
        <w:spacing w:after="0" w:line="240" w:lineRule="auto"/>
      </w:pPr>
      <w:r>
        <w:separator/>
      </w:r>
    </w:p>
  </w:footnote>
  <w:footnote w:type="continuationSeparator" w:id="0">
    <w:p w14:paraId="48CB38A0" w14:textId="77777777" w:rsidR="00145815" w:rsidRDefault="00145815" w:rsidP="0076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C5EA" w14:textId="6DE032C8" w:rsidR="005225CD" w:rsidRDefault="005225CD" w:rsidP="00763AE5">
    <w:pPr>
      <w:pStyle w:val="Header"/>
      <w:jc w:val="right"/>
      <w:rPr>
        <w:rFonts w:ascii="Calibri" w:hAnsi="Calibri"/>
        <w:b/>
        <w:color w:val="467E02"/>
        <w:sz w:val="36"/>
        <w:szCs w:val="36"/>
      </w:rPr>
    </w:pPr>
    <w:r>
      <w:rPr>
        <w:rFonts w:ascii="Calibri" w:hAnsi="Calibri"/>
        <w:b/>
        <w:noProof/>
        <w:color w:val="1F3864" w:themeColor="accent1" w:themeShade="80"/>
        <w:sz w:val="40"/>
        <w:szCs w:val="40"/>
      </w:rPr>
      <w:drawing>
        <wp:anchor distT="0" distB="0" distL="114300" distR="114300" simplePos="0" relativeHeight="251657216" behindDoc="1" locked="0" layoutInCell="1" allowOverlap="1" wp14:anchorId="652B9993" wp14:editId="54AF994F">
          <wp:simplePos x="0" y="0"/>
          <wp:positionH relativeFrom="margin">
            <wp:posOffset>76200</wp:posOffset>
          </wp:positionH>
          <wp:positionV relativeFrom="paragraph">
            <wp:posOffset>-124460</wp:posOffset>
          </wp:positionV>
          <wp:extent cx="915670" cy="582111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eW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58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467E02"/>
        <w:sz w:val="36"/>
        <w:szCs w:val="36"/>
      </w:rPr>
      <w:t>Baseline Readiness Assessment</w:t>
    </w:r>
  </w:p>
  <w:p w14:paraId="53259001" w14:textId="77777777" w:rsidR="005225CD" w:rsidRDefault="005225CD" w:rsidP="00763AE5">
    <w:pPr>
      <w:pStyle w:val="Header"/>
      <w:jc w:val="right"/>
      <w:rPr>
        <w:rFonts w:ascii="Calibri" w:hAnsi="Calibri"/>
        <w:b/>
        <w:color w:val="467E02"/>
        <w:sz w:val="36"/>
        <w:szCs w:val="36"/>
      </w:rPr>
    </w:pPr>
    <w:r>
      <w:rPr>
        <w:rFonts w:ascii="Calibri" w:hAnsi="Calibri"/>
        <w:b/>
        <w:color w:val="467E02"/>
        <w:sz w:val="36"/>
        <w:szCs w:val="36"/>
      </w:rPr>
      <w:t>Frequently Asked Questions</w:t>
    </w:r>
  </w:p>
  <w:p w14:paraId="63124E41" w14:textId="77777777" w:rsidR="005225CD" w:rsidRDefault="005225CD">
    <w:pPr>
      <w:pStyle w:val="Header"/>
    </w:pPr>
  </w:p>
  <w:p w14:paraId="5050EFED" w14:textId="77777777" w:rsidR="005225CD" w:rsidRDefault="00522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8C7"/>
    <w:multiLevelType w:val="hybridMultilevel"/>
    <w:tmpl w:val="6620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2AE"/>
    <w:multiLevelType w:val="hybridMultilevel"/>
    <w:tmpl w:val="C230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A08AD"/>
    <w:multiLevelType w:val="hybridMultilevel"/>
    <w:tmpl w:val="34B0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8F"/>
    <w:rsid w:val="000472FF"/>
    <w:rsid w:val="000B3464"/>
    <w:rsid w:val="000C3A6F"/>
    <w:rsid w:val="000E2415"/>
    <w:rsid w:val="0010091C"/>
    <w:rsid w:val="00145815"/>
    <w:rsid w:val="00153208"/>
    <w:rsid w:val="001A04BC"/>
    <w:rsid w:val="001A2BF0"/>
    <w:rsid w:val="001B1F8F"/>
    <w:rsid w:val="001B53A6"/>
    <w:rsid w:val="001B6DD9"/>
    <w:rsid w:val="001C7CF1"/>
    <w:rsid w:val="001D2400"/>
    <w:rsid w:val="001D60F9"/>
    <w:rsid w:val="001F7317"/>
    <w:rsid w:val="00230D31"/>
    <w:rsid w:val="00237071"/>
    <w:rsid w:val="00274D33"/>
    <w:rsid w:val="002B247D"/>
    <w:rsid w:val="002D08D5"/>
    <w:rsid w:val="002D370C"/>
    <w:rsid w:val="002E62CB"/>
    <w:rsid w:val="0033140D"/>
    <w:rsid w:val="00356E03"/>
    <w:rsid w:val="0036644C"/>
    <w:rsid w:val="00375CE8"/>
    <w:rsid w:val="004339C4"/>
    <w:rsid w:val="004513CF"/>
    <w:rsid w:val="00457627"/>
    <w:rsid w:val="004665A3"/>
    <w:rsid w:val="00470C3D"/>
    <w:rsid w:val="004732DF"/>
    <w:rsid w:val="004B146F"/>
    <w:rsid w:val="004B18FB"/>
    <w:rsid w:val="004D49C3"/>
    <w:rsid w:val="004D50ED"/>
    <w:rsid w:val="004E3704"/>
    <w:rsid w:val="004E57D5"/>
    <w:rsid w:val="00504744"/>
    <w:rsid w:val="005225CD"/>
    <w:rsid w:val="00524C66"/>
    <w:rsid w:val="005733B8"/>
    <w:rsid w:val="005820B6"/>
    <w:rsid w:val="00586D2C"/>
    <w:rsid w:val="00590831"/>
    <w:rsid w:val="005A4F51"/>
    <w:rsid w:val="005D1DF3"/>
    <w:rsid w:val="005E0DE7"/>
    <w:rsid w:val="006031CE"/>
    <w:rsid w:val="00603F83"/>
    <w:rsid w:val="00614403"/>
    <w:rsid w:val="006231C4"/>
    <w:rsid w:val="00634083"/>
    <w:rsid w:val="00640E6D"/>
    <w:rsid w:val="00641151"/>
    <w:rsid w:val="006679B6"/>
    <w:rsid w:val="006812D1"/>
    <w:rsid w:val="00686828"/>
    <w:rsid w:val="00711ADE"/>
    <w:rsid w:val="00731A0C"/>
    <w:rsid w:val="007429F3"/>
    <w:rsid w:val="00763AE5"/>
    <w:rsid w:val="0078104B"/>
    <w:rsid w:val="007D085A"/>
    <w:rsid w:val="007E2A29"/>
    <w:rsid w:val="008104DC"/>
    <w:rsid w:val="008114E7"/>
    <w:rsid w:val="00824C66"/>
    <w:rsid w:val="00876A4A"/>
    <w:rsid w:val="008C131E"/>
    <w:rsid w:val="008E36EB"/>
    <w:rsid w:val="009268C2"/>
    <w:rsid w:val="0096183C"/>
    <w:rsid w:val="00996E6C"/>
    <w:rsid w:val="009D3CE2"/>
    <w:rsid w:val="009F5579"/>
    <w:rsid w:val="00A26F94"/>
    <w:rsid w:val="00A31DC4"/>
    <w:rsid w:val="00A421BF"/>
    <w:rsid w:val="00A9074D"/>
    <w:rsid w:val="00A93A09"/>
    <w:rsid w:val="00AB5B36"/>
    <w:rsid w:val="00AD1CD8"/>
    <w:rsid w:val="00B31D05"/>
    <w:rsid w:val="00B43D92"/>
    <w:rsid w:val="00B5222B"/>
    <w:rsid w:val="00B85D61"/>
    <w:rsid w:val="00B94EA5"/>
    <w:rsid w:val="00BE0235"/>
    <w:rsid w:val="00C141A1"/>
    <w:rsid w:val="00C368C2"/>
    <w:rsid w:val="00C84A17"/>
    <w:rsid w:val="00CB66DD"/>
    <w:rsid w:val="00CC6103"/>
    <w:rsid w:val="00CE7986"/>
    <w:rsid w:val="00CF0677"/>
    <w:rsid w:val="00D64276"/>
    <w:rsid w:val="00D77448"/>
    <w:rsid w:val="00D8021B"/>
    <w:rsid w:val="00DD10EF"/>
    <w:rsid w:val="00DD1B73"/>
    <w:rsid w:val="00DD5D56"/>
    <w:rsid w:val="00DF355B"/>
    <w:rsid w:val="00E124EF"/>
    <w:rsid w:val="00E20295"/>
    <w:rsid w:val="00E3046C"/>
    <w:rsid w:val="00E54A26"/>
    <w:rsid w:val="00E624C2"/>
    <w:rsid w:val="00E62A64"/>
    <w:rsid w:val="00E74DD2"/>
    <w:rsid w:val="00E84394"/>
    <w:rsid w:val="00EE3702"/>
    <w:rsid w:val="00EE52BE"/>
    <w:rsid w:val="00EF37E9"/>
    <w:rsid w:val="00F2025A"/>
    <w:rsid w:val="00F66546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FBE62"/>
  <w15:chartTrackingRefBased/>
  <w15:docId w15:val="{DD8512F8-E775-4C55-8201-01B7256D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E5"/>
  </w:style>
  <w:style w:type="paragraph" w:styleId="Footer">
    <w:name w:val="footer"/>
    <w:basedOn w:val="Normal"/>
    <w:link w:val="FooterChar"/>
    <w:uiPriority w:val="99"/>
    <w:unhideWhenUsed/>
    <w:rsid w:val="0076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E5"/>
  </w:style>
  <w:style w:type="table" w:styleId="TableGrid">
    <w:name w:val="Table Grid"/>
    <w:basedOn w:val="TableNormal"/>
    <w:uiPriority w:val="39"/>
    <w:rsid w:val="00EE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2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2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2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wa@ofm.wa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fm.wa.gov/about/special-initiatives/one-washington/agency-resourc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m.wa.gov/sites/default/files/public/onewa/OneWa_Baseline_Readiness_Survey_POC_Toolki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fm.wa.gov/sites/default/files/public/onewa/AGENCY_points_of_contacts_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m.wa.gov/about/special-initiatives/one-washington/agency-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Alexis M</dc:creator>
  <cp:keywords/>
  <dc:description/>
  <cp:lastModifiedBy>Hoxit, Liz (OFM)</cp:lastModifiedBy>
  <cp:revision>2</cp:revision>
  <dcterms:created xsi:type="dcterms:W3CDTF">2019-11-21T00:56:00Z</dcterms:created>
  <dcterms:modified xsi:type="dcterms:W3CDTF">2019-11-21T00:56:00Z</dcterms:modified>
</cp:coreProperties>
</file>